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B" w:rsidRPr="00EC778C" w:rsidRDefault="00DC721B" w:rsidP="00032AA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DC721B" w:rsidRDefault="00DC721B" w:rsidP="004358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4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C721B" w:rsidRPr="004C01AF" w:rsidRDefault="00DC721B" w:rsidP="004358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4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C01A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4C01AF">
        <w:rPr>
          <w:rFonts w:ascii="Times New Roman" w:hAnsi="Times New Roman"/>
          <w:sz w:val="24"/>
          <w:szCs w:val="24"/>
        </w:rPr>
        <w:t xml:space="preserve"> администрации Асбестовского городского округа</w:t>
      </w:r>
    </w:p>
    <w:p w:rsidR="00DC721B" w:rsidRPr="004C01AF" w:rsidRDefault="00DC721B" w:rsidP="004358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C721B" w:rsidRDefault="003240FD" w:rsidP="004358CF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05.12.2013 № 776-ПА</w:t>
      </w:r>
    </w:p>
    <w:p w:rsidR="003240FD" w:rsidRPr="004C01AF" w:rsidRDefault="003240FD" w:rsidP="004358CF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от </w:t>
      </w:r>
      <w:r w:rsidR="003D5437">
        <w:rPr>
          <w:rFonts w:ascii="Times New Roman" w:hAnsi="Times New Roman"/>
          <w:sz w:val="24"/>
          <w:szCs w:val="24"/>
        </w:rPr>
        <w:t>04.08.2017 № 470-ПА</w:t>
      </w:r>
      <w:r>
        <w:rPr>
          <w:rFonts w:ascii="Times New Roman" w:hAnsi="Times New Roman"/>
          <w:sz w:val="24"/>
          <w:szCs w:val="24"/>
        </w:rPr>
        <w:t>)</w:t>
      </w:r>
    </w:p>
    <w:p w:rsidR="00DC721B" w:rsidRPr="00EC778C" w:rsidRDefault="005D6350" w:rsidP="005D6350">
      <w:pPr>
        <w:widowControl w:val="0"/>
        <w:tabs>
          <w:tab w:val="left" w:pos="443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721B" w:rsidRDefault="00DC721B" w:rsidP="0003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880" w:firstLine="173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EC778C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</w:p>
    <w:p w:rsidR="003240FD" w:rsidRDefault="00DC721B" w:rsidP="0003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78C">
        <w:rPr>
          <w:rFonts w:ascii="Times New Roman" w:hAnsi="Times New Roman"/>
          <w:b/>
          <w:bCs/>
          <w:sz w:val="28"/>
          <w:szCs w:val="28"/>
        </w:rPr>
        <w:t>«Реализация основных направлений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госу</w:t>
      </w:r>
      <w:r w:rsidRPr="00EC778C">
        <w:rPr>
          <w:rFonts w:ascii="Times New Roman" w:hAnsi="Times New Roman"/>
          <w:b/>
          <w:bCs/>
          <w:sz w:val="28"/>
          <w:szCs w:val="28"/>
        </w:rPr>
        <w:t xml:space="preserve">дарственной политики </w:t>
      </w:r>
    </w:p>
    <w:p w:rsidR="00DC721B" w:rsidRPr="00EC778C" w:rsidRDefault="00DC721B" w:rsidP="003240FD">
      <w:pPr>
        <w:widowControl w:val="0"/>
        <w:tabs>
          <w:tab w:val="left" w:pos="1020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3240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EC778C">
        <w:rPr>
          <w:rFonts w:ascii="Times New Roman" w:hAnsi="Times New Roman"/>
          <w:b/>
          <w:bCs/>
          <w:sz w:val="28"/>
          <w:szCs w:val="28"/>
        </w:rPr>
        <w:t>троительном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778C">
        <w:rPr>
          <w:rFonts w:ascii="Times New Roman" w:hAnsi="Times New Roman"/>
          <w:b/>
          <w:bCs/>
          <w:sz w:val="28"/>
          <w:szCs w:val="28"/>
        </w:rPr>
        <w:t>комплексе</w:t>
      </w:r>
      <w:r>
        <w:rPr>
          <w:rFonts w:ascii="Times New Roman" w:hAnsi="Times New Roman"/>
          <w:b/>
          <w:bCs/>
          <w:sz w:val="28"/>
          <w:szCs w:val="28"/>
        </w:rPr>
        <w:t xml:space="preserve"> Асбестовского городского округа</w:t>
      </w:r>
      <w:r w:rsidRPr="00EC778C">
        <w:rPr>
          <w:rFonts w:ascii="Times New Roman" w:hAnsi="Times New Roman"/>
          <w:b/>
          <w:bCs/>
          <w:sz w:val="28"/>
          <w:szCs w:val="28"/>
        </w:rPr>
        <w:t xml:space="preserve"> до 2020 года»</w:t>
      </w:r>
    </w:p>
    <w:p w:rsidR="00DC721B" w:rsidRDefault="00DC721B" w:rsidP="0003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21B" w:rsidRDefault="00DC721B" w:rsidP="0003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 w:right="3240" w:firstLine="1133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ПАСПОРТ</w:t>
      </w:r>
    </w:p>
    <w:p w:rsidR="00DC721B" w:rsidRPr="00EC778C" w:rsidRDefault="00DC721B" w:rsidP="0003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0"/>
        <w:jc w:val="center"/>
        <w:rPr>
          <w:rFonts w:ascii="Times New Roman" w:hAnsi="Times New Roman"/>
          <w:sz w:val="28"/>
          <w:szCs w:val="28"/>
        </w:rPr>
      </w:pPr>
      <w:r w:rsidRPr="00EC778C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EC778C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C721B" w:rsidRPr="00EC778C" w:rsidRDefault="00DC721B" w:rsidP="0003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center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b/>
          <w:bCs/>
          <w:sz w:val="28"/>
          <w:szCs w:val="28"/>
        </w:rPr>
        <w:t>«Реализация основных напра</w:t>
      </w:r>
      <w:r>
        <w:rPr>
          <w:rFonts w:ascii="Times New Roman" w:hAnsi="Times New Roman"/>
          <w:b/>
          <w:bCs/>
          <w:sz w:val="28"/>
          <w:szCs w:val="28"/>
        </w:rPr>
        <w:t>влений государственной политики</w:t>
      </w:r>
    </w:p>
    <w:p w:rsidR="00DC721B" w:rsidRPr="00EC778C" w:rsidRDefault="00DC721B" w:rsidP="0003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EC778C">
        <w:rPr>
          <w:rFonts w:ascii="Times New Roman" w:hAnsi="Times New Roman"/>
          <w:b/>
          <w:bCs/>
          <w:sz w:val="28"/>
          <w:szCs w:val="28"/>
        </w:rPr>
        <w:t xml:space="preserve">строительном комплексе </w:t>
      </w:r>
      <w:r>
        <w:rPr>
          <w:rFonts w:ascii="Times New Roman" w:hAnsi="Times New Roman"/>
          <w:b/>
          <w:bCs/>
          <w:sz w:val="28"/>
          <w:szCs w:val="28"/>
        </w:rPr>
        <w:t>Асбестовского городского округа</w:t>
      </w:r>
      <w:r w:rsidRPr="00EC778C">
        <w:rPr>
          <w:rFonts w:ascii="Times New Roman" w:hAnsi="Times New Roman"/>
          <w:b/>
          <w:bCs/>
          <w:sz w:val="28"/>
          <w:szCs w:val="28"/>
        </w:rPr>
        <w:t xml:space="preserve"> до 2020 года»</w:t>
      </w:r>
    </w:p>
    <w:p w:rsidR="00DC721B" w:rsidRDefault="00DC721B" w:rsidP="00032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3"/>
      <w:bookmarkStart w:id="1" w:name="page5"/>
      <w:bookmarkEnd w:id="0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3493"/>
        <w:gridCol w:w="6113"/>
      </w:tblGrid>
      <w:tr w:rsidR="00DC721B" w:rsidRPr="005F09D1" w:rsidTr="008B2510">
        <w:trPr>
          <w:trHeight w:val="455"/>
        </w:trPr>
        <w:tc>
          <w:tcPr>
            <w:tcW w:w="42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13" w:type="dxa"/>
          </w:tcPr>
          <w:p w:rsidR="00DC721B" w:rsidRPr="005F09D1" w:rsidRDefault="00DC721B" w:rsidP="004D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Управление архитектуры и градостроительства</w:t>
            </w:r>
          </w:p>
        </w:tc>
      </w:tr>
      <w:tr w:rsidR="00DC721B" w:rsidRPr="005F09D1" w:rsidTr="008B2510">
        <w:tc>
          <w:tcPr>
            <w:tcW w:w="42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1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  <w:tr w:rsidR="00DC721B" w:rsidRPr="005F09D1" w:rsidTr="008B2510">
        <w:tc>
          <w:tcPr>
            <w:tcW w:w="42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1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Цель 1. (Подпрограмма 1): Обеспечение населения   Асбестовского городского округа доступным </w:t>
            </w:r>
            <w:r w:rsidR="004D3587">
              <w:rPr>
                <w:rFonts w:ascii="Times New Roman" w:hAnsi="Times New Roman"/>
                <w:sz w:val="24"/>
                <w:szCs w:val="24"/>
              </w:rPr>
              <w:t xml:space="preserve">и комфортным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жильем путем </w:t>
            </w:r>
            <w:r w:rsidR="004D3587">
              <w:rPr>
                <w:rFonts w:ascii="Times New Roman" w:hAnsi="Times New Roman"/>
                <w:sz w:val="24"/>
                <w:szCs w:val="24"/>
              </w:rPr>
              <w:t xml:space="preserve">реализации механизмов поддержки и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развития жилищного строительства и стимулирования спроса на рынке жилья</w:t>
            </w:r>
            <w:r w:rsidR="00DF1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Задача 1.1.</w:t>
            </w:r>
            <w:r w:rsidR="004D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Обеспечение ежегодного роста объемов ввода жилья, в том числе жилья экономкласса, в том числе малоэтажного</w:t>
            </w:r>
            <w:r w:rsidR="00DF1B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1.2.</w:t>
            </w:r>
            <w:r w:rsidR="004D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Создание условий для комплексного освоения земельных участков жилого района «Заречный» и района индивидуальной застройки поселка Белокаменный путем  обеспечения этих земельных участков объектами коммунальной инфраструктуры</w:t>
            </w:r>
            <w:r w:rsidR="00DF1B42">
              <w:rPr>
                <w:rFonts w:ascii="Times New Roman" w:hAnsi="Times New Roman"/>
                <w:sz w:val="24"/>
                <w:szCs w:val="24"/>
              </w:rPr>
              <w:t>;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Задача 1.3. Обеспечение документацией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Асбестовского городского округа в целях развития жилищно-гражданского строительства</w:t>
            </w:r>
            <w:r w:rsidR="00DF1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21B" w:rsidRPr="005F09D1" w:rsidRDefault="00DC721B" w:rsidP="004D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Цель 2. (Подпрограмма 2): Обеспечение комфортных условий проживания населения на территории Асбестовского городского округа за счет предоставления возможности использования природного газа для предоставления коммунальных услуг надлежащего качества</w:t>
            </w:r>
            <w:r w:rsidR="00DF1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21B" w:rsidRPr="005F09D1" w:rsidRDefault="00DC721B" w:rsidP="004D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Задача 2.1. Создание технической возможности для сетевого газоснабжения и развития газификации всех жилых районов города Асбеста путем реализации мероприятий по строительству газопроводов–отводов высокого давления</w:t>
            </w:r>
            <w:r w:rsidR="00DF1B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21B" w:rsidRPr="005F09D1" w:rsidRDefault="00DC721B" w:rsidP="004D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Задача 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газификации объектов жилищно-коммунальной сферы и обеспечения надежности системы газоснабжения путем реализации мероприятий по строительству распределительных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lastRenderedPageBreak/>
              <w:t>газопроводов и газовых сетей внутри населенных пунктов Асбестовского городского округа</w:t>
            </w:r>
            <w:r w:rsidR="00DF1B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21B" w:rsidRPr="005F09D1" w:rsidRDefault="00DC721B" w:rsidP="000D5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Задача 2.3. Газификация объектов жилищно-коммунальной сферы путем реализации мероприятий по переводу на природный газ муниципальных жилых домов Асбестовского городского </w:t>
            </w:r>
            <w:r w:rsidRPr="00BD42FF">
              <w:rPr>
                <w:rFonts w:ascii="Times New Roman" w:hAnsi="Times New Roman"/>
                <w:sz w:val="24"/>
                <w:szCs w:val="24"/>
              </w:rPr>
              <w:t>округа и объектов социальной сферы Асбестовского городского округа.</w:t>
            </w:r>
          </w:p>
        </w:tc>
      </w:tr>
      <w:tr w:rsidR="00DC721B" w:rsidRPr="005F09D1" w:rsidTr="008B2510">
        <w:tc>
          <w:tcPr>
            <w:tcW w:w="42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Перечень  подпрограмм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Подпрограмма 1. «Стимулирование развития жилищного строительства»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Подпрограмма 2. «Развитие газификации»</w:t>
            </w:r>
          </w:p>
        </w:tc>
      </w:tr>
      <w:tr w:rsidR="00DC721B" w:rsidRPr="005F09D1" w:rsidTr="008B2510">
        <w:tc>
          <w:tcPr>
            <w:tcW w:w="42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Перечень основных</w:t>
            </w:r>
          </w:p>
          <w:p w:rsidR="00DC721B" w:rsidRPr="005F09D1" w:rsidRDefault="00202D84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>елевых показателей муниципальной программы</w:t>
            </w:r>
          </w:p>
        </w:tc>
        <w:tc>
          <w:tcPr>
            <w:tcW w:w="6113" w:type="dxa"/>
          </w:tcPr>
          <w:p w:rsidR="00DC721B" w:rsidRPr="000D55EB" w:rsidRDefault="00DC721B" w:rsidP="0032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B">
              <w:rPr>
                <w:rFonts w:ascii="Times New Roman" w:hAnsi="Times New Roman"/>
                <w:sz w:val="24"/>
                <w:szCs w:val="24"/>
              </w:rPr>
              <w:t>1) достижение ввода общей площади жилья на территории Асбестовского городского округа за 2014-2020 годы в объёме 4</w:t>
            </w:r>
            <w:r w:rsidR="004358CF">
              <w:rPr>
                <w:rFonts w:ascii="Times New Roman" w:hAnsi="Times New Roman"/>
                <w:sz w:val="24"/>
                <w:szCs w:val="24"/>
              </w:rPr>
              <w:t>12,2</w:t>
            </w:r>
            <w:r w:rsidRPr="000D55EB">
              <w:rPr>
                <w:rFonts w:ascii="Times New Roman" w:hAnsi="Times New Roman"/>
                <w:sz w:val="24"/>
                <w:szCs w:val="24"/>
              </w:rPr>
              <w:t xml:space="preserve"> тыс. кв. метров, в том числе жилья экономического класса - </w:t>
            </w:r>
            <w:r w:rsidR="004358CF">
              <w:rPr>
                <w:rFonts w:ascii="Times New Roman" w:hAnsi="Times New Roman"/>
                <w:sz w:val="24"/>
                <w:szCs w:val="24"/>
              </w:rPr>
              <w:t>247,32</w:t>
            </w:r>
            <w:r w:rsidRPr="000D55EB">
              <w:rPr>
                <w:rFonts w:ascii="Times New Roman" w:hAnsi="Times New Roman"/>
                <w:sz w:val="24"/>
                <w:szCs w:val="24"/>
              </w:rPr>
              <w:t xml:space="preserve"> тыс. кв. метров</w:t>
            </w:r>
            <w:r w:rsidR="00DF1B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21B" w:rsidRPr="000D55EB" w:rsidRDefault="00DC721B" w:rsidP="0032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B">
              <w:rPr>
                <w:rFonts w:ascii="Times New Roman" w:hAnsi="Times New Roman"/>
                <w:sz w:val="24"/>
                <w:szCs w:val="24"/>
              </w:rPr>
              <w:t xml:space="preserve">2) достижение обеспеченности жильём населения Асбестовского городского округа к 2020 году 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30,0 кв. метров"/>
              </w:smartTagPr>
              <w:r w:rsidRPr="000D55EB">
                <w:rPr>
                  <w:rFonts w:ascii="Times New Roman" w:hAnsi="Times New Roman"/>
                  <w:sz w:val="24"/>
                  <w:szCs w:val="24"/>
                </w:rPr>
                <w:t>30,0 кв. метров</w:t>
              </w:r>
            </w:smartTag>
            <w:r w:rsidRPr="000D55EB">
              <w:rPr>
                <w:rFonts w:ascii="Times New Roman" w:hAnsi="Times New Roman"/>
                <w:sz w:val="24"/>
                <w:szCs w:val="24"/>
              </w:rPr>
              <w:t xml:space="preserve"> общей площади на 1 жителя; </w:t>
            </w:r>
          </w:p>
          <w:p w:rsidR="00DC721B" w:rsidRPr="000D55EB" w:rsidRDefault="00DC721B" w:rsidP="0032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B">
              <w:rPr>
                <w:rFonts w:ascii="Times New Roman" w:hAnsi="Times New Roman"/>
                <w:sz w:val="24"/>
                <w:szCs w:val="24"/>
              </w:rPr>
              <w:t>3) ввод объектов коммунальной инфраструктуры муниципальной собственности с использованием субсидий из областного бюд</w:t>
            </w:r>
            <w:bookmarkStart w:id="2" w:name="_GoBack"/>
            <w:bookmarkEnd w:id="2"/>
            <w:r w:rsidRPr="000D55EB">
              <w:rPr>
                <w:rFonts w:ascii="Times New Roman" w:hAnsi="Times New Roman"/>
                <w:sz w:val="24"/>
                <w:szCs w:val="24"/>
              </w:rPr>
              <w:t>жета – не менее 20 объектов;</w:t>
            </w:r>
          </w:p>
          <w:p w:rsidR="00DC721B" w:rsidRDefault="00DC721B" w:rsidP="0032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E618B">
              <w:rPr>
                <w:rFonts w:ascii="Times New Roman" w:hAnsi="Times New Roman"/>
                <w:sz w:val="24"/>
                <w:szCs w:val="24"/>
              </w:rPr>
              <w:t>п</w:t>
            </w:r>
            <w:r w:rsidR="003E618B" w:rsidRPr="003E618B">
              <w:rPr>
                <w:rFonts w:ascii="Times New Roman" w:hAnsi="Times New Roman"/>
                <w:sz w:val="24"/>
                <w:szCs w:val="24"/>
              </w:rPr>
              <w:t>лощадь территорий, для которых разработана документация по планировке территории в целях жилищно-гражданского строительства</w:t>
            </w:r>
            <w:r w:rsidRPr="000D55EB">
              <w:rPr>
                <w:rFonts w:ascii="Times New Roman" w:hAnsi="Times New Roman"/>
                <w:sz w:val="24"/>
                <w:szCs w:val="24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53 га"/>
              </w:smartTagPr>
              <w:r w:rsidRPr="000D55EB">
                <w:rPr>
                  <w:rFonts w:ascii="Times New Roman" w:hAnsi="Times New Roman"/>
                  <w:sz w:val="24"/>
                  <w:szCs w:val="24"/>
                </w:rPr>
                <w:t>253 га</w:t>
              </w:r>
            </w:smartTag>
            <w:r w:rsidRPr="000D55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21B" w:rsidRPr="005F09D1" w:rsidRDefault="00DC721B" w:rsidP="00A3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FF">
              <w:rPr>
                <w:rFonts w:ascii="Times New Roman" w:hAnsi="Times New Roman"/>
                <w:sz w:val="24"/>
                <w:szCs w:val="24"/>
              </w:rPr>
              <w:t>5) перевод одного социального объекта Асбестовского городского округа на природный газ</w:t>
            </w:r>
          </w:p>
        </w:tc>
      </w:tr>
      <w:tr w:rsidR="00DC721B" w:rsidRPr="005F09D1" w:rsidTr="008B2510">
        <w:tc>
          <w:tcPr>
            <w:tcW w:w="42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DC721B" w:rsidRPr="005F09D1" w:rsidRDefault="00DC721B" w:rsidP="00D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611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9D1">
              <w:rPr>
                <w:rFonts w:ascii="Times New Roman" w:hAnsi="Times New Roman"/>
                <w:b/>
                <w:sz w:val="24"/>
                <w:szCs w:val="24"/>
              </w:rPr>
              <w:t>Всего –</w:t>
            </w:r>
            <w:r w:rsidR="004F3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71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06523">
              <w:rPr>
                <w:rFonts w:ascii="Times New Roman" w:hAnsi="Times New Roman"/>
                <w:b/>
                <w:sz w:val="24"/>
                <w:szCs w:val="24"/>
              </w:rPr>
              <w:t>6 904,5</w:t>
            </w:r>
            <w:r w:rsidR="00CF71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0864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r w:rsidRPr="005F09D1">
              <w:rPr>
                <w:rFonts w:ascii="Times New Roman" w:hAnsi="Times New Roman"/>
                <w:b/>
                <w:sz w:val="24"/>
                <w:szCs w:val="24"/>
              </w:rPr>
              <w:t>рублей,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84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(по годам реализации)</w:t>
            </w:r>
            <w:r w:rsidR="00843C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2014 год –  </w:t>
            </w:r>
            <w:r w:rsidR="00F73BE2">
              <w:rPr>
                <w:rFonts w:ascii="Times New Roman" w:hAnsi="Times New Roman"/>
                <w:sz w:val="24"/>
                <w:szCs w:val="24"/>
              </w:rPr>
              <w:t>2</w:t>
            </w:r>
            <w:r w:rsidR="004F35C6">
              <w:rPr>
                <w:rFonts w:ascii="Times New Roman" w:hAnsi="Times New Roman"/>
                <w:sz w:val="24"/>
                <w:szCs w:val="24"/>
              </w:rPr>
              <w:t>1 448,7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2015 год –  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35C6">
              <w:rPr>
                <w:rFonts w:ascii="Times New Roman" w:hAnsi="Times New Roman"/>
                <w:sz w:val="24"/>
                <w:szCs w:val="24"/>
              </w:rPr>
              <w:t>5 714,2</w:t>
            </w:r>
            <w:r w:rsidR="000D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F73BE2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</w:t>
            </w:r>
            <w:r w:rsidR="00C55B78">
              <w:rPr>
                <w:rFonts w:ascii="Times New Roman" w:hAnsi="Times New Roman"/>
                <w:sz w:val="24"/>
                <w:szCs w:val="24"/>
              </w:rPr>
              <w:t>1</w:t>
            </w:r>
            <w:r w:rsidR="004F35C6">
              <w:rPr>
                <w:rFonts w:ascii="Times New Roman" w:hAnsi="Times New Roman"/>
                <w:sz w:val="24"/>
                <w:szCs w:val="24"/>
              </w:rPr>
              <w:t>2 928,0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F73BE2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 </w:t>
            </w:r>
            <w:r w:rsidR="00CF71FD">
              <w:rPr>
                <w:rFonts w:ascii="Times New Roman" w:hAnsi="Times New Roman"/>
                <w:sz w:val="24"/>
                <w:szCs w:val="24"/>
              </w:rPr>
              <w:t>2</w:t>
            </w:r>
            <w:r w:rsidR="00906523">
              <w:rPr>
                <w:rFonts w:ascii="Times New Roman" w:hAnsi="Times New Roman"/>
                <w:sz w:val="24"/>
                <w:szCs w:val="24"/>
              </w:rPr>
              <w:t>2 136,2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4F35C6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 </w:t>
            </w:r>
            <w:r w:rsidR="00FB7E38">
              <w:rPr>
                <w:rFonts w:ascii="Times New Roman" w:hAnsi="Times New Roman"/>
                <w:sz w:val="24"/>
                <w:szCs w:val="24"/>
              </w:rPr>
              <w:t>31 995,4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4F35C6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 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E38">
              <w:rPr>
                <w:rFonts w:ascii="Times New Roman" w:hAnsi="Times New Roman"/>
                <w:sz w:val="24"/>
                <w:szCs w:val="24"/>
              </w:rPr>
              <w:t>5 742,0</w:t>
            </w:r>
            <w:r w:rsidR="00F73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F73BE2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 4</w:t>
            </w:r>
            <w:r w:rsidR="00FA47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7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40,0</w:t>
            </w:r>
            <w:r w:rsidR="00843CA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F09D1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– </w:t>
            </w:r>
            <w:r w:rsidR="00994015">
              <w:rPr>
                <w:rFonts w:ascii="Times New Roman" w:hAnsi="Times New Roman"/>
                <w:b/>
                <w:sz w:val="24"/>
                <w:szCs w:val="24"/>
              </w:rPr>
              <w:t>30 651,9</w:t>
            </w:r>
            <w:r w:rsidRPr="005F09D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в том числе (по годам реализации)</w:t>
            </w:r>
            <w:r w:rsidR="00843C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721B" w:rsidRPr="005F09D1" w:rsidRDefault="00126E72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 99,7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3B702D">
              <w:rPr>
                <w:rFonts w:ascii="Times New Roman" w:hAnsi="Times New Roman"/>
                <w:sz w:val="24"/>
                <w:szCs w:val="24"/>
              </w:rPr>
              <w:t xml:space="preserve"> 82,2</w:t>
            </w:r>
            <w:r w:rsidR="007B0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79F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0</w:t>
            </w:r>
            <w:r w:rsidR="00FB7E3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FB7E38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DC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2020 год – 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CA7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 w:rsidR="006336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71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6523">
              <w:rPr>
                <w:rFonts w:ascii="Times New Roman" w:hAnsi="Times New Roman"/>
                <w:b/>
                <w:sz w:val="24"/>
                <w:szCs w:val="24"/>
              </w:rPr>
              <w:t>6 252,6</w:t>
            </w:r>
            <w:r w:rsidR="004F35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в том числе (по годам реализации)</w:t>
            </w:r>
            <w:r w:rsidR="00843C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1D30">
              <w:rPr>
                <w:rFonts w:ascii="Times New Roman" w:hAnsi="Times New Roman"/>
                <w:sz w:val="24"/>
                <w:szCs w:val="24"/>
              </w:rPr>
              <w:t>1 349,0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3622">
              <w:rPr>
                <w:rFonts w:ascii="Times New Roman" w:hAnsi="Times New Roman"/>
                <w:sz w:val="24"/>
                <w:szCs w:val="24"/>
              </w:rPr>
              <w:t>5 632,0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C55B78">
              <w:rPr>
                <w:rFonts w:ascii="Times New Roman" w:hAnsi="Times New Roman"/>
                <w:sz w:val="24"/>
                <w:szCs w:val="24"/>
              </w:rPr>
              <w:t>1</w:t>
            </w:r>
            <w:r w:rsidR="004F35C6">
              <w:rPr>
                <w:rFonts w:ascii="Times New Roman" w:hAnsi="Times New Roman"/>
                <w:sz w:val="24"/>
                <w:szCs w:val="24"/>
              </w:rPr>
              <w:t>2 928,0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906523">
              <w:rPr>
                <w:rFonts w:ascii="Times New Roman" w:hAnsi="Times New Roman"/>
                <w:sz w:val="24"/>
                <w:szCs w:val="24"/>
              </w:rPr>
              <w:t>22 136,2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FB7E38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31 995,4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C721B" w:rsidRPr="005F09D1" w:rsidRDefault="00FB7E38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год – </w:t>
            </w:r>
            <w:r w:rsidR="0032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5 742,0</w:t>
            </w:r>
            <w:r w:rsidR="00DC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21B" w:rsidRPr="005F09D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2020 год – 1</w:t>
            </w:r>
            <w:r w:rsidR="00FA47E9">
              <w:rPr>
                <w:rFonts w:ascii="Times New Roman" w:hAnsi="Times New Roman"/>
                <w:sz w:val="24"/>
                <w:szCs w:val="24"/>
              </w:rPr>
              <w:t>6</w:t>
            </w:r>
            <w:r w:rsidR="003240FD">
              <w:rPr>
                <w:rFonts w:ascii="Times New Roman" w:hAnsi="Times New Roman"/>
                <w:sz w:val="24"/>
                <w:szCs w:val="24"/>
              </w:rPr>
              <w:t> </w:t>
            </w:r>
            <w:r w:rsidR="00FA47E9">
              <w:rPr>
                <w:rFonts w:ascii="Times New Roman" w:hAnsi="Times New Roman"/>
                <w:sz w:val="24"/>
                <w:szCs w:val="24"/>
              </w:rPr>
              <w:t>4</w:t>
            </w:r>
            <w:r w:rsidR="007B07B7">
              <w:rPr>
                <w:rFonts w:ascii="Times New Roman" w:hAnsi="Times New Roman"/>
                <w:sz w:val="24"/>
                <w:szCs w:val="24"/>
              </w:rPr>
              <w:t>70</w:t>
            </w:r>
            <w:r w:rsidR="003240FD">
              <w:rPr>
                <w:rFonts w:ascii="Times New Roman" w:hAnsi="Times New Roman"/>
                <w:sz w:val="24"/>
                <w:szCs w:val="24"/>
              </w:rPr>
              <w:t>,0</w:t>
            </w:r>
            <w:r w:rsidR="00D23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CA7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DC721B" w:rsidRPr="005F09D1" w:rsidRDefault="00DC721B" w:rsidP="008B2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F09D1">
              <w:rPr>
                <w:rFonts w:ascii="Times New Roman" w:hAnsi="Times New Roman"/>
                <w:b/>
                <w:sz w:val="24"/>
                <w:szCs w:val="24"/>
              </w:rPr>
              <w:t>внебюджетные</w:t>
            </w:r>
            <w:r w:rsidRPr="005F09D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B07B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5F09D1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DC721B" w:rsidRPr="005F09D1" w:rsidTr="008B2510">
        <w:trPr>
          <w:trHeight w:val="731"/>
        </w:trPr>
        <w:tc>
          <w:tcPr>
            <w:tcW w:w="42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6113" w:type="dxa"/>
          </w:tcPr>
          <w:p w:rsidR="00DC721B" w:rsidRPr="005F09D1" w:rsidRDefault="00DC721B" w:rsidP="004D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D1">
              <w:rPr>
                <w:rFonts w:ascii="Times New Roman" w:hAnsi="Times New Roman"/>
                <w:sz w:val="24"/>
                <w:szCs w:val="24"/>
              </w:rPr>
              <w:t>Официальный сайт Асбестовского городского округа -  www.asbestadm.ru</w:t>
            </w:r>
          </w:p>
        </w:tc>
      </w:tr>
    </w:tbl>
    <w:p w:rsidR="00DC721B" w:rsidRPr="00FD06DF" w:rsidRDefault="00DC721B" w:rsidP="00032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C721B" w:rsidRPr="00FD06DF" w:rsidRDefault="00DC721B" w:rsidP="00032A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721B" w:rsidRDefault="00DC721B" w:rsidP="00032A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418" w:right="120" w:firstLine="2241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78C">
        <w:rPr>
          <w:rFonts w:ascii="Times New Roman" w:hAnsi="Times New Roman"/>
          <w:b/>
          <w:bCs/>
          <w:sz w:val="28"/>
          <w:szCs w:val="28"/>
        </w:rPr>
        <w:t>Раздел 1. Характерист</w:t>
      </w:r>
      <w:r>
        <w:rPr>
          <w:rFonts w:ascii="Times New Roman" w:hAnsi="Times New Roman"/>
          <w:b/>
          <w:bCs/>
          <w:sz w:val="28"/>
          <w:szCs w:val="28"/>
        </w:rPr>
        <w:t>ика и анализ текущего состояния</w:t>
      </w:r>
    </w:p>
    <w:p w:rsidR="00DC721B" w:rsidRPr="00EC778C" w:rsidRDefault="00DC721B" w:rsidP="00032A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418" w:right="120" w:firstLine="2241"/>
        <w:jc w:val="center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b/>
          <w:bCs/>
          <w:sz w:val="28"/>
          <w:szCs w:val="28"/>
        </w:rPr>
        <w:t xml:space="preserve">строительного комплекса </w:t>
      </w:r>
      <w:r>
        <w:rPr>
          <w:rFonts w:ascii="Times New Roman" w:hAnsi="Times New Roman"/>
          <w:b/>
          <w:bCs/>
          <w:sz w:val="28"/>
          <w:szCs w:val="28"/>
        </w:rPr>
        <w:t>Асбестовского городского округа</w:t>
      </w:r>
    </w:p>
    <w:p w:rsidR="00DC721B" w:rsidRDefault="00DC721B" w:rsidP="00032AA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/>
        <w:jc w:val="center"/>
        <w:rPr>
          <w:rFonts w:ascii="Times New Roman" w:hAnsi="Times New Roman"/>
          <w:sz w:val="24"/>
          <w:szCs w:val="24"/>
        </w:rPr>
      </w:pPr>
    </w:p>
    <w:p w:rsidR="00DC721B" w:rsidRPr="0036136E" w:rsidRDefault="00DC721B" w:rsidP="00DF1B4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36E">
        <w:rPr>
          <w:rFonts w:ascii="Times New Roman" w:hAnsi="Times New Roman"/>
          <w:sz w:val="28"/>
          <w:szCs w:val="28"/>
        </w:rPr>
        <w:t xml:space="preserve">Строительный комплекс (инженерные изыскания, проектирование, строительство, предприятия стройиндустрии и промышленности строительных материалов) </w:t>
      </w:r>
      <w:r w:rsidRPr="0036136E">
        <w:rPr>
          <w:rFonts w:ascii="Times New Roman" w:hAnsi="Times New Roman"/>
          <w:sz w:val="24"/>
          <w:szCs w:val="24"/>
        </w:rPr>
        <w:t xml:space="preserve">– </w:t>
      </w:r>
      <w:r w:rsidRPr="0036136E">
        <w:rPr>
          <w:rFonts w:ascii="Times New Roman" w:hAnsi="Times New Roman"/>
          <w:sz w:val="28"/>
          <w:szCs w:val="28"/>
        </w:rPr>
        <w:t xml:space="preserve">это один из наиболее важных сегментов экономики, обеспечивающий развитие всех видов экономической деятельности. 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социальную значимость приобретает жилищная сфера.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4F">
        <w:rPr>
          <w:rFonts w:ascii="Times New Roman" w:hAnsi="Times New Roman"/>
          <w:sz w:val="28"/>
          <w:szCs w:val="28"/>
        </w:rPr>
        <w:t xml:space="preserve">Приоритеты и цели государственной политики в жилищной сфере определены в соответствии с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:rsidR="00DC721B" w:rsidRPr="00064C4F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4F">
        <w:rPr>
          <w:rFonts w:ascii="Times New Roman" w:hAnsi="Times New Roman"/>
          <w:sz w:val="28"/>
          <w:szCs w:val="28"/>
        </w:rPr>
        <w:t>Муниципальная программа «Реализация основных направлений государственной политики в строительном комплексе Асбестовского городского округа до 2020 года» (далее – муниципальная программа) разработана</w:t>
      </w:r>
      <w:r w:rsidR="00266287">
        <w:rPr>
          <w:rFonts w:ascii="Times New Roman" w:hAnsi="Times New Roman"/>
          <w:sz w:val="28"/>
          <w:szCs w:val="28"/>
        </w:rPr>
        <w:t xml:space="preserve"> </w:t>
      </w:r>
      <w:r w:rsidR="008B2510">
        <w:rPr>
          <w:rFonts w:ascii="Times New Roman" w:hAnsi="Times New Roman"/>
          <w:sz w:val="28"/>
          <w:szCs w:val="28"/>
        </w:rPr>
        <w:t xml:space="preserve">  </w:t>
      </w:r>
      <w:r w:rsidR="00266287">
        <w:rPr>
          <w:rFonts w:ascii="Times New Roman" w:hAnsi="Times New Roman"/>
          <w:sz w:val="28"/>
          <w:szCs w:val="28"/>
        </w:rPr>
        <w:t xml:space="preserve">                </w:t>
      </w:r>
      <w:r w:rsidRPr="00064C4F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нормативными документами</w:t>
      </w:r>
      <w:r w:rsidRPr="00064C4F">
        <w:rPr>
          <w:rFonts w:ascii="Times New Roman" w:hAnsi="Times New Roman"/>
          <w:sz w:val="28"/>
          <w:szCs w:val="28"/>
        </w:rPr>
        <w:t>:</w:t>
      </w:r>
    </w:p>
    <w:p w:rsidR="00DC721B" w:rsidRPr="00064C4F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4C4F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я</w:t>
      </w:r>
      <w:r w:rsidRPr="00064C4F">
        <w:rPr>
          <w:rFonts w:ascii="Times New Roman" w:hAnsi="Times New Roman"/>
          <w:sz w:val="28"/>
          <w:szCs w:val="28"/>
        </w:rPr>
        <w:t xml:space="preserve"> социально-экономического развития Асбестовского городского округа на п</w:t>
      </w:r>
      <w:r>
        <w:rPr>
          <w:rFonts w:ascii="Times New Roman" w:hAnsi="Times New Roman"/>
          <w:sz w:val="28"/>
          <w:szCs w:val="28"/>
        </w:rPr>
        <w:t>ериод до 2020 года, утвержденная</w:t>
      </w:r>
      <w:r w:rsidRPr="00064C4F">
        <w:rPr>
          <w:rFonts w:ascii="Times New Roman" w:hAnsi="Times New Roman"/>
          <w:sz w:val="28"/>
          <w:szCs w:val="28"/>
        </w:rPr>
        <w:t xml:space="preserve"> решением Думы Асбестовского городского округа от 24.12.2009 года № 31/2 «О стратегии социально-экономического развития Асбестовского городского округа на период до 2020 года»;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4C4F">
        <w:rPr>
          <w:rFonts w:ascii="Times New Roman" w:hAnsi="Times New Roman"/>
          <w:sz w:val="28"/>
          <w:szCs w:val="28"/>
        </w:rPr>
        <w:t>«Комплексны</w:t>
      </w:r>
      <w:r>
        <w:rPr>
          <w:rFonts w:ascii="Times New Roman" w:hAnsi="Times New Roman"/>
          <w:sz w:val="28"/>
          <w:szCs w:val="28"/>
        </w:rPr>
        <w:t>й</w:t>
      </w:r>
      <w:r w:rsidRPr="00064C4F">
        <w:rPr>
          <w:rFonts w:ascii="Times New Roman" w:hAnsi="Times New Roman"/>
          <w:sz w:val="28"/>
          <w:szCs w:val="28"/>
        </w:rPr>
        <w:t xml:space="preserve"> инвестиционны</w:t>
      </w:r>
      <w:r>
        <w:rPr>
          <w:rFonts w:ascii="Times New Roman" w:hAnsi="Times New Roman"/>
          <w:sz w:val="28"/>
          <w:szCs w:val="28"/>
        </w:rPr>
        <w:t>й</w:t>
      </w:r>
      <w:r w:rsidRPr="00064C4F">
        <w:rPr>
          <w:rFonts w:ascii="Times New Roman" w:hAnsi="Times New Roman"/>
          <w:sz w:val="28"/>
          <w:szCs w:val="28"/>
        </w:rPr>
        <w:t xml:space="preserve"> план модернизации города Асбеста Свердловской области на 2010-2015 годы и на персп</w:t>
      </w:r>
      <w:r>
        <w:rPr>
          <w:rFonts w:ascii="Times New Roman" w:hAnsi="Times New Roman"/>
          <w:sz w:val="28"/>
          <w:szCs w:val="28"/>
        </w:rPr>
        <w:t>ективу до 2020 года», одобренный</w:t>
      </w:r>
      <w:r w:rsidRPr="0006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64C4F">
        <w:rPr>
          <w:rFonts w:ascii="Times New Roman" w:hAnsi="Times New Roman"/>
          <w:sz w:val="28"/>
          <w:szCs w:val="28"/>
        </w:rPr>
        <w:t>остановлением главы Асбестовского городского округа от 08.12.2010 № 466-ПГ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4C4F">
        <w:rPr>
          <w:rFonts w:ascii="Times New Roman" w:hAnsi="Times New Roman"/>
          <w:sz w:val="28"/>
          <w:szCs w:val="28"/>
        </w:rPr>
        <w:t xml:space="preserve">с изменениями, внесёнными </w:t>
      </w:r>
      <w:r w:rsidR="00266287">
        <w:rPr>
          <w:rFonts w:ascii="Times New Roman" w:hAnsi="Times New Roman"/>
          <w:sz w:val="28"/>
          <w:szCs w:val="28"/>
        </w:rPr>
        <w:t>п</w:t>
      </w:r>
      <w:r w:rsidRPr="00064C4F">
        <w:rPr>
          <w:rFonts w:ascii="Times New Roman" w:hAnsi="Times New Roman"/>
          <w:sz w:val="28"/>
          <w:szCs w:val="28"/>
        </w:rPr>
        <w:t>остановлением администрации Асбестовского городского округа от 29.12.2012 № 695-ПА</w:t>
      </w:r>
      <w:r>
        <w:rPr>
          <w:rFonts w:ascii="Times New Roman" w:hAnsi="Times New Roman"/>
          <w:sz w:val="28"/>
          <w:szCs w:val="28"/>
        </w:rPr>
        <w:t>;</w:t>
      </w:r>
    </w:p>
    <w:p w:rsidR="00DC721B" w:rsidRPr="003D3BDB" w:rsidRDefault="00DC721B" w:rsidP="00DF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3BDB">
        <w:rPr>
          <w:rFonts w:ascii="Times New Roman" w:hAnsi="Times New Roman"/>
          <w:sz w:val="28"/>
          <w:szCs w:val="28"/>
        </w:rPr>
        <w:t xml:space="preserve">План-график разработки и утверждения документации по планировке </w:t>
      </w:r>
      <w:r>
        <w:rPr>
          <w:rFonts w:ascii="Times New Roman" w:hAnsi="Times New Roman"/>
          <w:sz w:val="28"/>
          <w:szCs w:val="28"/>
        </w:rPr>
        <w:t>террито</w:t>
      </w:r>
      <w:r w:rsidRPr="003D3BDB">
        <w:rPr>
          <w:rFonts w:ascii="Times New Roman" w:hAnsi="Times New Roman"/>
          <w:sz w:val="28"/>
          <w:szCs w:val="28"/>
        </w:rPr>
        <w:t>рий городских округов и поселений Свердловской области до 2020 года, утвержден</w:t>
      </w:r>
      <w:r>
        <w:rPr>
          <w:rFonts w:ascii="Times New Roman" w:hAnsi="Times New Roman"/>
          <w:sz w:val="28"/>
          <w:szCs w:val="28"/>
        </w:rPr>
        <w:t>ный</w:t>
      </w:r>
      <w:r w:rsidRPr="003D3BDB">
        <w:rPr>
          <w:rFonts w:ascii="Times New Roman" w:hAnsi="Times New Roman"/>
          <w:sz w:val="28"/>
          <w:szCs w:val="28"/>
        </w:rPr>
        <w:t xml:space="preserve"> Приказом Министерства строительства и развития инфраструктуры  Свердловской области от 20.06.20</w:t>
      </w:r>
      <w:r>
        <w:rPr>
          <w:rFonts w:ascii="Times New Roman" w:hAnsi="Times New Roman"/>
          <w:sz w:val="28"/>
          <w:szCs w:val="28"/>
        </w:rPr>
        <w:t>1</w:t>
      </w:r>
      <w:r w:rsidRPr="003D3BDB">
        <w:rPr>
          <w:rFonts w:ascii="Times New Roman" w:hAnsi="Times New Roman"/>
          <w:sz w:val="28"/>
          <w:szCs w:val="28"/>
        </w:rPr>
        <w:t>3 № 1-П</w:t>
      </w:r>
      <w:r>
        <w:rPr>
          <w:rFonts w:ascii="Times New Roman" w:hAnsi="Times New Roman"/>
          <w:sz w:val="28"/>
          <w:szCs w:val="28"/>
        </w:rPr>
        <w:t>;</w:t>
      </w:r>
    </w:p>
    <w:p w:rsidR="00DC721B" w:rsidRPr="003D3BDB" w:rsidRDefault="00DC721B" w:rsidP="00DF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3BDB">
        <w:rPr>
          <w:rFonts w:ascii="Times New Roman" w:hAnsi="Times New Roman"/>
          <w:sz w:val="28"/>
          <w:szCs w:val="28"/>
        </w:rPr>
        <w:t>Генеральный план Асбестовского городского округа:</w:t>
      </w:r>
    </w:p>
    <w:p w:rsidR="00DC721B" w:rsidRDefault="00DC721B" w:rsidP="00DF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DB">
        <w:rPr>
          <w:rFonts w:ascii="Times New Roman" w:hAnsi="Times New Roman"/>
          <w:sz w:val="28"/>
          <w:szCs w:val="28"/>
        </w:rPr>
        <w:t>- в части города Асбеста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BDB">
        <w:rPr>
          <w:rFonts w:ascii="Times New Roman" w:hAnsi="Times New Roman"/>
          <w:sz w:val="28"/>
          <w:szCs w:val="28"/>
        </w:rPr>
        <w:t>решением Думы Асбестовского городского</w:t>
      </w:r>
      <w:r w:rsidR="00DF1B42">
        <w:rPr>
          <w:rFonts w:ascii="Times New Roman" w:hAnsi="Times New Roman"/>
          <w:sz w:val="28"/>
          <w:szCs w:val="28"/>
        </w:rPr>
        <w:t xml:space="preserve"> </w:t>
      </w:r>
      <w:r w:rsidRPr="003D3BDB">
        <w:rPr>
          <w:rFonts w:ascii="Times New Roman" w:hAnsi="Times New Roman"/>
          <w:sz w:val="28"/>
          <w:szCs w:val="28"/>
        </w:rPr>
        <w:t xml:space="preserve">округа от 25.12.2012 № 16/16 «Об утверждении Генерального плана </w:t>
      </w:r>
      <w:r>
        <w:rPr>
          <w:rFonts w:ascii="Times New Roman" w:hAnsi="Times New Roman"/>
          <w:sz w:val="28"/>
          <w:szCs w:val="28"/>
        </w:rPr>
        <w:t>Асбестов</w:t>
      </w:r>
      <w:r w:rsidRPr="003D3BDB">
        <w:rPr>
          <w:rFonts w:ascii="Times New Roman" w:hAnsi="Times New Roman"/>
          <w:sz w:val="28"/>
          <w:szCs w:val="28"/>
        </w:rPr>
        <w:t>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DC721B" w:rsidRDefault="00DC721B" w:rsidP="00DF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DB">
        <w:rPr>
          <w:rFonts w:ascii="Times New Roman" w:hAnsi="Times New Roman"/>
          <w:sz w:val="28"/>
          <w:szCs w:val="28"/>
        </w:rPr>
        <w:t xml:space="preserve">- в части поселков Белокаменный и Красноармейский </w:t>
      </w:r>
      <w:r>
        <w:rPr>
          <w:rFonts w:ascii="Times New Roman" w:hAnsi="Times New Roman"/>
          <w:sz w:val="28"/>
          <w:szCs w:val="28"/>
        </w:rPr>
        <w:t>-</w:t>
      </w:r>
      <w:r w:rsidRPr="003D3BDB">
        <w:rPr>
          <w:rFonts w:ascii="Times New Roman" w:hAnsi="Times New Roman"/>
          <w:sz w:val="28"/>
          <w:szCs w:val="28"/>
        </w:rPr>
        <w:t xml:space="preserve"> утвержден решением Думы </w:t>
      </w:r>
    </w:p>
    <w:p w:rsidR="00DC721B" w:rsidRPr="003D3BDB" w:rsidRDefault="00DC721B" w:rsidP="00DF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DB">
        <w:rPr>
          <w:rFonts w:ascii="Times New Roman" w:hAnsi="Times New Roman"/>
          <w:sz w:val="28"/>
          <w:szCs w:val="28"/>
        </w:rPr>
        <w:t>Асбестовского городского округа от 08.08.2013 № 26/4 «О внесении изменений в</w:t>
      </w:r>
      <w:r w:rsidR="00DF1B42">
        <w:rPr>
          <w:rFonts w:ascii="Times New Roman" w:hAnsi="Times New Roman"/>
          <w:sz w:val="28"/>
          <w:szCs w:val="28"/>
        </w:rPr>
        <w:t xml:space="preserve"> </w:t>
      </w:r>
      <w:r w:rsidRPr="003D3BDB">
        <w:rPr>
          <w:rFonts w:ascii="Times New Roman" w:hAnsi="Times New Roman"/>
          <w:sz w:val="28"/>
          <w:szCs w:val="28"/>
        </w:rPr>
        <w:t>решение Думы Асбестовского городского округа от 25.12.2012</w:t>
      </w:r>
      <w:r w:rsidR="008B2510">
        <w:rPr>
          <w:rFonts w:ascii="Times New Roman" w:hAnsi="Times New Roman"/>
          <w:sz w:val="28"/>
          <w:szCs w:val="28"/>
        </w:rPr>
        <w:t xml:space="preserve">        </w:t>
      </w:r>
      <w:r w:rsidRPr="003D3BDB">
        <w:rPr>
          <w:rFonts w:ascii="Times New Roman" w:hAnsi="Times New Roman"/>
          <w:sz w:val="28"/>
          <w:szCs w:val="28"/>
        </w:rPr>
        <w:t xml:space="preserve"> </w:t>
      </w:r>
      <w:r w:rsidRPr="003D3BDB">
        <w:rPr>
          <w:rFonts w:ascii="Times New Roman" w:hAnsi="Times New Roman"/>
          <w:sz w:val="28"/>
          <w:szCs w:val="28"/>
        </w:rPr>
        <w:lastRenderedPageBreak/>
        <w:t>№ 16/16 «Об</w:t>
      </w:r>
      <w:r w:rsidR="00DF1B42">
        <w:rPr>
          <w:rFonts w:ascii="Times New Roman" w:hAnsi="Times New Roman"/>
          <w:sz w:val="28"/>
          <w:szCs w:val="28"/>
        </w:rPr>
        <w:t xml:space="preserve"> </w:t>
      </w:r>
      <w:r w:rsidRPr="003D3BDB">
        <w:rPr>
          <w:rFonts w:ascii="Times New Roman" w:hAnsi="Times New Roman"/>
          <w:sz w:val="28"/>
          <w:szCs w:val="28"/>
        </w:rPr>
        <w:t>утверждении Генерального плана Асбестовского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DC721B" w:rsidRPr="003D3BDB" w:rsidRDefault="00DC721B" w:rsidP="00DF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DB">
        <w:rPr>
          <w:rFonts w:ascii="Times New Roman" w:hAnsi="Times New Roman"/>
          <w:sz w:val="28"/>
          <w:szCs w:val="28"/>
        </w:rPr>
        <w:t>- в части территорий вне населенных пунктов утвержден решением Думы</w:t>
      </w:r>
      <w:r w:rsidR="00DF1B42">
        <w:rPr>
          <w:rFonts w:ascii="Times New Roman" w:hAnsi="Times New Roman"/>
          <w:sz w:val="28"/>
          <w:szCs w:val="28"/>
        </w:rPr>
        <w:t xml:space="preserve"> </w:t>
      </w:r>
      <w:r w:rsidRPr="003D3BDB">
        <w:rPr>
          <w:rFonts w:ascii="Times New Roman" w:hAnsi="Times New Roman"/>
          <w:sz w:val="28"/>
          <w:szCs w:val="28"/>
        </w:rPr>
        <w:t xml:space="preserve">Асбестовского городского </w:t>
      </w:r>
      <w:r w:rsidRPr="001274FB">
        <w:rPr>
          <w:rFonts w:ascii="Times New Roman" w:hAnsi="Times New Roman"/>
          <w:sz w:val="28"/>
          <w:szCs w:val="28"/>
        </w:rPr>
        <w:t>округа от 28.11</w:t>
      </w:r>
      <w:r>
        <w:rPr>
          <w:rFonts w:ascii="Times New Roman" w:hAnsi="Times New Roman"/>
          <w:sz w:val="28"/>
          <w:szCs w:val="28"/>
        </w:rPr>
        <w:t>.2013 № 30/9</w:t>
      </w:r>
      <w:r w:rsidRPr="003D3BDB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8B2510">
        <w:rPr>
          <w:rFonts w:ascii="Times New Roman" w:hAnsi="Times New Roman"/>
          <w:sz w:val="28"/>
          <w:szCs w:val="28"/>
        </w:rPr>
        <w:t xml:space="preserve"> </w:t>
      </w:r>
      <w:r w:rsidR="00266287">
        <w:rPr>
          <w:rFonts w:ascii="Times New Roman" w:hAnsi="Times New Roman"/>
          <w:sz w:val="28"/>
          <w:szCs w:val="28"/>
        </w:rPr>
        <w:t xml:space="preserve">  </w:t>
      </w:r>
      <w:r w:rsidRPr="003D3BDB">
        <w:rPr>
          <w:rFonts w:ascii="Times New Roman" w:hAnsi="Times New Roman"/>
          <w:sz w:val="28"/>
          <w:szCs w:val="28"/>
        </w:rPr>
        <w:t>в</w:t>
      </w:r>
      <w:r w:rsidR="00DF1B42">
        <w:rPr>
          <w:rFonts w:ascii="Times New Roman" w:hAnsi="Times New Roman"/>
          <w:sz w:val="28"/>
          <w:szCs w:val="28"/>
        </w:rPr>
        <w:t xml:space="preserve"> </w:t>
      </w:r>
      <w:r w:rsidRPr="003D3BDB">
        <w:rPr>
          <w:rFonts w:ascii="Times New Roman" w:hAnsi="Times New Roman"/>
          <w:sz w:val="28"/>
          <w:szCs w:val="28"/>
        </w:rPr>
        <w:t>решение Думы Асбестовского городского округа от 25.12.2012 № 16/16 «Об</w:t>
      </w:r>
      <w:r w:rsidR="00DF1B42">
        <w:rPr>
          <w:rFonts w:ascii="Times New Roman" w:hAnsi="Times New Roman"/>
          <w:sz w:val="28"/>
          <w:szCs w:val="28"/>
        </w:rPr>
        <w:t xml:space="preserve"> </w:t>
      </w:r>
      <w:r w:rsidRPr="003D3BDB">
        <w:rPr>
          <w:rFonts w:ascii="Times New Roman" w:hAnsi="Times New Roman"/>
          <w:sz w:val="28"/>
          <w:szCs w:val="28"/>
        </w:rPr>
        <w:t>утверждении Генерального плана Асбестовского городского округа»</w:t>
      </w:r>
      <w:r w:rsidR="00266287">
        <w:rPr>
          <w:rFonts w:ascii="Times New Roman" w:hAnsi="Times New Roman"/>
          <w:sz w:val="28"/>
          <w:szCs w:val="28"/>
        </w:rPr>
        <w:t xml:space="preserve"> </w:t>
      </w:r>
      <w:r w:rsidR="008B2510">
        <w:rPr>
          <w:rFonts w:ascii="Times New Roman" w:hAnsi="Times New Roman"/>
          <w:sz w:val="28"/>
          <w:szCs w:val="28"/>
        </w:rPr>
        <w:t xml:space="preserve">  </w:t>
      </w:r>
      <w:r w:rsidR="00266287">
        <w:rPr>
          <w:rFonts w:ascii="Times New Roman" w:hAnsi="Times New Roman"/>
          <w:sz w:val="28"/>
          <w:szCs w:val="28"/>
        </w:rPr>
        <w:t xml:space="preserve">                 </w:t>
      </w:r>
      <w:r w:rsidRPr="003D3BDB">
        <w:rPr>
          <w:rFonts w:ascii="Times New Roman" w:hAnsi="Times New Roman"/>
          <w:sz w:val="28"/>
          <w:szCs w:val="28"/>
        </w:rPr>
        <w:t xml:space="preserve"> (с </w:t>
      </w:r>
      <w:r w:rsidR="00266287">
        <w:rPr>
          <w:rFonts w:ascii="Times New Roman" w:hAnsi="Times New Roman"/>
          <w:sz w:val="28"/>
          <w:szCs w:val="28"/>
        </w:rPr>
        <w:t>изменениями</w:t>
      </w:r>
      <w:r w:rsidRPr="003D3BDB">
        <w:rPr>
          <w:rFonts w:ascii="Times New Roman" w:hAnsi="Times New Roman"/>
          <w:sz w:val="28"/>
          <w:szCs w:val="28"/>
        </w:rPr>
        <w:t xml:space="preserve"> от 25.12.2012 № 16/16)</w:t>
      </w:r>
      <w:r>
        <w:rPr>
          <w:rFonts w:ascii="Times New Roman" w:hAnsi="Times New Roman"/>
          <w:sz w:val="28"/>
          <w:szCs w:val="28"/>
        </w:rPr>
        <w:t>.</w:t>
      </w:r>
    </w:p>
    <w:p w:rsidR="00DC721B" w:rsidRPr="009E4D48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48">
        <w:rPr>
          <w:rFonts w:ascii="Times New Roman" w:hAnsi="Times New Roman"/>
          <w:sz w:val="28"/>
          <w:szCs w:val="28"/>
        </w:rPr>
        <w:t>В рамках государственной жилищно</w:t>
      </w:r>
      <w:r>
        <w:rPr>
          <w:rFonts w:ascii="Times New Roman" w:hAnsi="Times New Roman"/>
          <w:sz w:val="28"/>
          <w:szCs w:val="28"/>
        </w:rPr>
        <w:t xml:space="preserve">й политики Свердловской области </w:t>
      </w:r>
      <w:r w:rsidRPr="009E4D48">
        <w:rPr>
          <w:rFonts w:ascii="Times New Roman" w:hAnsi="Times New Roman"/>
          <w:sz w:val="28"/>
          <w:szCs w:val="28"/>
        </w:rPr>
        <w:t>стратегическими целями Асбестовского городского округа являются:</w:t>
      </w:r>
    </w:p>
    <w:p w:rsidR="00DC721B" w:rsidRPr="009E4D48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48">
        <w:rPr>
          <w:rFonts w:ascii="Times New Roman" w:hAnsi="Times New Roman"/>
          <w:sz w:val="28"/>
          <w:szCs w:val="28"/>
        </w:rPr>
        <w:t>- обеспечение доступности жилья для граждан с различными доходами;</w:t>
      </w:r>
    </w:p>
    <w:p w:rsidR="00DC721B" w:rsidRPr="009E4D48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48">
        <w:rPr>
          <w:rFonts w:ascii="Times New Roman" w:hAnsi="Times New Roman"/>
          <w:sz w:val="28"/>
          <w:szCs w:val="28"/>
        </w:rPr>
        <w:t>- удовлетворение потребности населения в комфортном жилье.</w:t>
      </w:r>
    </w:p>
    <w:p w:rsidR="00DC721B" w:rsidRPr="009E4D48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48">
        <w:rPr>
          <w:rFonts w:ascii="Times New Roman" w:hAnsi="Times New Roman"/>
          <w:sz w:val="28"/>
          <w:szCs w:val="28"/>
        </w:rPr>
        <w:t xml:space="preserve">Результатом проведения данной политики станет комфортная среда обитания человека, которая позволит улучшить демографическую ситуацию </w:t>
      </w:r>
      <w:r w:rsidR="008B2510">
        <w:rPr>
          <w:rFonts w:ascii="Times New Roman" w:hAnsi="Times New Roman"/>
          <w:sz w:val="28"/>
          <w:szCs w:val="28"/>
        </w:rPr>
        <w:t xml:space="preserve">         </w:t>
      </w:r>
      <w:r w:rsidRPr="009E4D48">
        <w:rPr>
          <w:rFonts w:ascii="Times New Roman" w:hAnsi="Times New Roman"/>
          <w:sz w:val="28"/>
          <w:szCs w:val="28"/>
        </w:rPr>
        <w:t>в городском округе и решить существующие проблемы на рынке труда.</w:t>
      </w:r>
    </w:p>
    <w:p w:rsidR="00DC721B" w:rsidRPr="00AB442A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2A">
        <w:rPr>
          <w:rFonts w:ascii="Times New Roman" w:hAnsi="Times New Roman"/>
          <w:sz w:val="28"/>
          <w:szCs w:val="28"/>
        </w:rPr>
        <w:t>Общий объем жилищного фонда в Асбестовском городском о</w:t>
      </w:r>
      <w:r w:rsidR="00AB442A" w:rsidRPr="00AB442A">
        <w:rPr>
          <w:rFonts w:ascii="Times New Roman" w:hAnsi="Times New Roman"/>
          <w:sz w:val="28"/>
          <w:szCs w:val="28"/>
        </w:rPr>
        <w:t>круге по состоянию на 01.01.2016</w:t>
      </w:r>
      <w:r w:rsidRPr="00AB442A">
        <w:rPr>
          <w:rFonts w:ascii="Times New Roman" w:hAnsi="Times New Roman"/>
          <w:sz w:val="28"/>
          <w:szCs w:val="28"/>
        </w:rPr>
        <w:t xml:space="preserve"> составил 1</w:t>
      </w:r>
      <w:r w:rsidR="00AB442A" w:rsidRPr="00AB442A">
        <w:rPr>
          <w:rFonts w:ascii="Times New Roman" w:hAnsi="Times New Roman"/>
          <w:sz w:val="28"/>
          <w:szCs w:val="28"/>
        </w:rPr>
        <w:t>712,9</w:t>
      </w:r>
      <w:r w:rsidRPr="00AB442A">
        <w:rPr>
          <w:rFonts w:ascii="Times New Roman" w:hAnsi="Times New Roman"/>
          <w:sz w:val="28"/>
          <w:szCs w:val="28"/>
        </w:rPr>
        <w:t xml:space="preserve"> тыс. квадратных метров. </w:t>
      </w:r>
    </w:p>
    <w:p w:rsidR="00DC721B" w:rsidRDefault="00DC721B" w:rsidP="00266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2A">
        <w:rPr>
          <w:rFonts w:ascii="Times New Roman" w:hAnsi="Times New Roman"/>
          <w:sz w:val="28"/>
          <w:szCs w:val="28"/>
        </w:rPr>
        <w:t>В 2007 - 2012 годах введено 46,7 тыс. квадратных метров общей площади жилья, в основном, за счет средств индивидуальных застройщиков. Увеличивается обеспеченность населения округа жильем, которая выросла с 21,</w:t>
      </w:r>
      <w:r w:rsidR="00AB442A" w:rsidRPr="00AB442A">
        <w:rPr>
          <w:rFonts w:ascii="Times New Roman" w:hAnsi="Times New Roman"/>
          <w:sz w:val="28"/>
          <w:szCs w:val="28"/>
        </w:rPr>
        <w:t>4 кв. метра в 2007 году до 25,34</w:t>
      </w:r>
      <w:r w:rsidRPr="00AB442A">
        <w:rPr>
          <w:rFonts w:ascii="Times New Roman" w:hAnsi="Times New Roman"/>
          <w:sz w:val="28"/>
          <w:szCs w:val="28"/>
        </w:rPr>
        <w:t xml:space="preserve"> кв. м на человека в 201</w:t>
      </w:r>
      <w:r w:rsidR="00AB442A" w:rsidRPr="00AB442A">
        <w:rPr>
          <w:rFonts w:ascii="Times New Roman" w:hAnsi="Times New Roman"/>
          <w:sz w:val="28"/>
          <w:szCs w:val="28"/>
        </w:rPr>
        <w:t>5</w:t>
      </w:r>
      <w:r w:rsidRPr="00AB442A">
        <w:rPr>
          <w:rFonts w:ascii="Times New Roman" w:hAnsi="Times New Roman"/>
          <w:sz w:val="28"/>
          <w:szCs w:val="28"/>
        </w:rPr>
        <w:t xml:space="preserve"> году.</w:t>
      </w:r>
      <w:r w:rsidRPr="009261F1">
        <w:rPr>
          <w:rFonts w:ascii="Times New Roman" w:hAnsi="Times New Roman"/>
          <w:sz w:val="28"/>
          <w:szCs w:val="28"/>
        </w:rPr>
        <w:t xml:space="preserve"> 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1F1">
        <w:rPr>
          <w:rFonts w:ascii="Times New Roman" w:hAnsi="Times New Roman"/>
          <w:sz w:val="28"/>
          <w:szCs w:val="28"/>
        </w:rPr>
        <w:t>В 2009-201</w:t>
      </w:r>
      <w:r w:rsidR="00C55B78">
        <w:rPr>
          <w:rFonts w:ascii="Times New Roman" w:hAnsi="Times New Roman"/>
          <w:sz w:val="28"/>
          <w:szCs w:val="28"/>
        </w:rPr>
        <w:t>5</w:t>
      </w:r>
      <w:r w:rsidRPr="009261F1">
        <w:rPr>
          <w:rFonts w:ascii="Times New Roman" w:hAnsi="Times New Roman"/>
          <w:sz w:val="28"/>
          <w:szCs w:val="28"/>
        </w:rPr>
        <w:t xml:space="preserve"> годах в Асбестовском городском округе наблюда</w:t>
      </w:r>
      <w:r w:rsidR="00C55B78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 xml:space="preserve">ежегодное снижение </w:t>
      </w:r>
      <w:r w:rsidRPr="009261F1">
        <w:rPr>
          <w:rFonts w:ascii="Times New Roman" w:hAnsi="Times New Roman"/>
          <w:sz w:val="28"/>
          <w:szCs w:val="28"/>
        </w:rPr>
        <w:t>объемов жилищного строительства. Недостаточные темпы жилищного строительства объясняются резким сокращением строительства многоэтажного жилья и нехваткой бюджетно-финансовых ресурсов для строительства социального жилья.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F1">
        <w:rPr>
          <w:rFonts w:ascii="Times New Roman" w:hAnsi="Times New Roman"/>
          <w:sz w:val="28"/>
          <w:szCs w:val="28"/>
        </w:rPr>
        <w:t>Коммерческие инвестиции в строительство жилья вкладываются</w:t>
      </w:r>
      <w:r w:rsidR="00266287">
        <w:rPr>
          <w:rFonts w:ascii="Times New Roman" w:hAnsi="Times New Roman"/>
          <w:sz w:val="28"/>
          <w:szCs w:val="28"/>
        </w:rPr>
        <w:t xml:space="preserve"> </w:t>
      </w:r>
      <w:r w:rsidRPr="009261F1">
        <w:rPr>
          <w:rFonts w:ascii="Times New Roman" w:hAnsi="Times New Roman"/>
          <w:sz w:val="28"/>
          <w:szCs w:val="28"/>
        </w:rPr>
        <w:t xml:space="preserve">с опасением, так как реализация построенных квартир </w:t>
      </w:r>
      <w:r w:rsidR="008B2510">
        <w:rPr>
          <w:rFonts w:ascii="Times New Roman" w:hAnsi="Times New Roman"/>
          <w:sz w:val="28"/>
          <w:szCs w:val="28"/>
        </w:rPr>
        <w:t xml:space="preserve">           </w:t>
      </w:r>
      <w:r w:rsidRPr="009261F1">
        <w:rPr>
          <w:rFonts w:ascii="Times New Roman" w:hAnsi="Times New Roman"/>
          <w:sz w:val="28"/>
          <w:szCs w:val="28"/>
        </w:rPr>
        <w:t xml:space="preserve">в Асбестовском городском округе затруднена в связи с низкими доходами населения при высокой стоимости жилья.  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1F1">
        <w:rPr>
          <w:rFonts w:ascii="Times New Roman" w:hAnsi="Times New Roman"/>
          <w:sz w:val="28"/>
          <w:szCs w:val="28"/>
        </w:rPr>
        <w:t>Тем не менее, потребность в жилье в Асбестовском городском округе имеется, а нуждающиеся в жилье малоимущие граждане не имеют возможности его приобрести. Одновременно значительное количество семей не является малоимущими и</w:t>
      </w:r>
      <w:r>
        <w:rPr>
          <w:rFonts w:ascii="Times New Roman" w:hAnsi="Times New Roman"/>
          <w:sz w:val="28"/>
          <w:szCs w:val="28"/>
        </w:rPr>
        <w:t>,</w:t>
      </w:r>
      <w:r w:rsidRPr="009261F1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9261F1">
        <w:rPr>
          <w:rFonts w:ascii="Times New Roman" w:hAnsi="Times New Roman"/>
          <w:sz w:val="28"/>
          <w:szCs w:val="28"/>
        </w:rPr>
        <w:t xml:space="preserve"> не может претендовать на социальное жилье, но испытывает потребность в улучшении жилищных условий.</w:t>
      </w:r>
    </w:p>
    <w:p w:rsidR="00DC721B" w:rsidRPr="007A70CC" w:rsidRDefault="00DC721B" w:rsidP="00DF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CC">
        <w:rPr>
          <w:rFonts w:ascii="Times New Roman" w:hAnsi="Times New Roman"/>
          <w:sz w:val="28"/>
          <w:szCs w:val="28"/>
        </w:rPr>
        <w:t>Условия для развития жилищного строительства в Асбестовском городском округе имеются. Распределение объемов строительства жилья в Асбестовском городском округе планируется с учетом:</w:t>
      </w:r>
    </w:p>
    <w:p w:rsidR="00DC721B" w:rsidRPr="007A70CC" w:rsidRDefault="00DC721B" w:rsidP="00DF1B42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Pr="007A70CC">
        <w:rPr>
          <w:rFonts w:ascii="Times New Roman" w:hAnsi="Times New Roman"/>
          <w:b/>
          <w:sz w:val="28"/>
          <w:szCs w:val="28"/>
        </w:rPr>
        <w:t>использования всех свободных площадок в границах существующей селитебной зоны, обеспеченных коммунальной инфраструктурой:</w:t>
      </w:r>
    </w:p>
    <w:p w:rsidR="00DC721B" w:rsidRPr="007A70CC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70CC">
        <w:rPr>
          <w:rFonts w:ascii="Times New Roman" w:hAnsi="Times New Roman"/>
          <w:sz w:val="28"/>
          <w:szCs w:val="28"/>
        </w:rPr>
        <w:t>район малоэтажной застройки Больничного городка;</w:t>
      </w:r>
    </w:p>
    <w:p w:rsidR="00DC721B" w:rsidRPr="007A70CC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CC">
        <w:rPr>
          <w:rFonts w:ascii="Times New Roman" w:hAnsi="Times New Roman"/>
          <w:sz w:val="28"/>
          <w:szCs w:val="28"/>
        </w:rPr>
        <w:t>- район малоэтажной застройки 101 квартала;</w:t>
      </w:r>
    </w:p>
    <w:p w:rsidR="00DC721B" w:rsidRPr="00E41913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13">
        <w:rPr>
          <w:rFonts w:ascii="Times New Roman" w:hAnsi="Times New Roman"/>
          <w:sz w:val="28"/>
          <w:szCs w:val="28"/>
        </w:rPr>
        <w:t xml:space="preserve">- жилой район Заводской многоэтажной застройки; </w:t>
      </w:r>
    </w:p>
    <w:p w:rsidR="00DC721B" w:rsidRPr="00E41913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13">
        <w:rPr>
          <w:rFonts w:ascii="Times New Roman" w:hAnsi="Times New Roman"/>
          <w:sz w:val="28"/>
          <w:szCs w:val="28"/>
        </w:rPr>
        <w:t xml:space="preserve">- жилой район сблокированной застройки в границах улиц Пионерская – Уральская – Ильина – Махнева. </w:t>
      </w:r>
    </w:p>
    <w:p w:rsidR="00DC721B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13">
        <w:rPr>
          <w:rFonts w:ascii="Times New Roman" w:hAnsi="Times New Roman"/>
          <w:sz w:val="28"/>
          <w:szCs w:val="28"/>
        </w:rPr>
        <w:t xml:space="preserve">Эти площадки могут явиться переходным этапом для удовлетворения сегодняшних потребностей в жилье. </w:t>
      </w:r>
    </w:p>
    <w:p w:rsidR="00DC721B" w:rsidRPr="003313CB" w:rsidRDefault="00DC721B" w:rsidP="00DF1B4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3313CB">
        <w:rPr>
          <w:rFonts w:ascii="Times New Roman" w:hAnsi="Times New Roman"/>
          <w:b/>
          <w:sz w:val="28"/>
          <w:szCs w:val="28"/>
        </w:rPr>
        <w:t xml:space="preserve">) отвода новых площадей под индивидуальное и малоэтажное строительство: </w:t>
      </w:r>
    </w:p>
    <w:p w:rsidR="00DC721B" w:rsidRPr="00AB468E" w:rsidRDefault="00DC721B" w:rsidP="00DF1B42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8E">
        <w:rPr>
          <w:rFonts w:ascii="Times New Roman" w:hAnsi="Times New Roman" w:cs="Times New Roman"/>
          <w:bCs/>
          <w:sz w:val="28"/>
          <w:szCs w:val="28"/>
        </w:rPr>
        <w:t>- земельный участок площадью 40 га под строительство 132 индивидуальных жилых домов в поселке Белокаменный;</w:t>
      </w:r>
    </w:p>
    <w:p w:rsidR="00DC721B" w:rsidRDefault="00DC721B" w:rsidP="0026628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8E">
        <w:rPr>
          <w:rFonts w:ascii="Times New Roman" w:hAnsi="Times New Roman" w:cs="Times New Roman"/>
          <w:bCs/>
          <w:sz w:val="28"/>
          <w:szCs w:val="28"/>
        </w:rPr>
        <w:t>- земельные участки под строительство четырех 2-этажных жилых домов общей площадью 1400 кв. 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68E">
        <w:rPr>
          <w:rFonts w:ascii="Times New Roman" w:hAnsi="Times New Roman" w:cs="Times New Roman"/>
          <w:bCs/>
          <w:sz w:val="28"/>
          <w:szCs w:val="28"/>
        </w:rPr>
        <w:t>и 106 индивидуальных жилых домов в поселке Лесозавод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C721B" w:rsidRPr="00761892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 w:rsidRPr="00685593">
        <w:rPr>
          <w:rFonts w:ascii="Times New Roman" w:hAnsi="Times New Roman"/>
          <w:b/>
          <w:sz w:val="28"/>
          <w:szCs w:val="28"/>
        </w:rPr>
        <w:t xml:space="preserve">постепенного переноса </w:t>
      </w:r>
      <w:r>
        <w:rPr>
          <w:rFonts w:ascii="Times New Roman" w:hAnsi="Times New Roman"/>
          <w:b/>
          <w:sz w:val="28"/>
          <w:szCs w:val="28"/>
        </w:rPr>
        <w:t xml:space="preserve">основных объемов жилищного </w:t>
      </w:r>
      <w:r w:rsidRPr="00685593">
        <w:rPr>
          <w:rFonts w:ascii="Times New Roman" w:hAnsi="Times New Roman"/>
          <w:b/>
          <w:sz w:val="28"/>
          <w:szCs w:val="28"/>
        </w:rPr>
        <w:t>строительства</w:t>
      </w:r>
      <w:r w:rsidR="00266287">
        <w:rPr>
          <w:rFonts w:ascii="Times New Roman" w:hAnsi="Times New Roman"/>
          <w:b/>
          <w:sz w:val="28"/>
          <w:szCs w:val="28"/>
        </w:rPr>
        <w:t xml:space="preserve"> </w:t>
      </w:r>
      <w:r w:rsidRPr="00685593">
        <w:rPr>
          <w:rFonts w:ascii="Times New Roman" w:hAnsi="Times New Roman"/>
          <w:b/>
          <w:sz w:val="28"/>
          <w:szCs w:val="28"/>
        </w:rPr>
        <w:t>в район «Заречный»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96D0D">
        <w:rPr>
          <w:rFonts w:ascii="Times New Roman" w:hAnsi="Times New Roman"/>
          <w:sz w:val="28"/>
          <w:szCs w:val="28"/>
        </w:rPr>
        <w:t xml:space="preserve">дающий </w:t>
      </w:r>
      <w:r w:rsidRPr="00761892">
        <w:rPr>
          <w:rFonts w:ascii="Times New Roman" w:hAnsi="Times New Roman"/>
          <w:sz w:val="28"/>
          <w:szCs w:val="28"/>
        </w:rPr>
        <w:t>перспективу развития на 50 и более лет.</w:t>
      </w:r>
    </w:p>
    <w:p w:rsidR="00DC721B" w:rsidRDefault="00DC721B" w:rsidP="00DF1B4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593">
        <w:rPr>
          <w:rFonts w:ascii="Times New Roman" w:hAnsi="Times New Roman"/>
          <w:sz w:val="28"/>
          <w:szCs w:val="28"/>
        </w:rPr>
        <w:t>В соответствии с проектом планировки жилого района «Заречный», разработанного ОАО «Уралгражданпроект», земельные участки общей площадью 221</w:t>
      </w:r>
      <w:r w:rsidR="00266287">
        <w:rPr>
          <w:rFonts w:ascii="Times New Roman" w:hAnsi="Times New Roman"/>
          <w:sz w:val="28"/>
          <w:szCs w:val="28"/>
        </w:rPr>
        <w:t xml:space="preserve"> </w:t>
      </w:r>
      <w:r w:rsidRPr="00685593">
        <w:rPr>
          <w:rFonts w:ascii="Times New Roman" w:hAnsi="Times New Roman"/>
          <w:sz w:val="28"/>
          <w:szCs w:val="28"/>
        </w:rPr>
        <w:t xml:space="preserve">га предназначены под строительство жилых домов общей площадью </w:t>
      </w:r>
      <w:r w:rsidR="008B2510">
        <w:rPr>
          <w:rFonts w:ascii="Times New Roman" w:hAnsi="Times New Roman"/>
          <w:sz w:val="28"/>
          <w:szCs w:val="28"/>
        </w:rPr>
        <w:t xml:space="preserve"> </w:t>
      </w:r>
      <w:r w:rsidR="00266287">
        <w:rPr>
          <w:rFonts w:ascii="Times New Roman" w:hAnsi="Times New Roman"/>
          <w:sz w:val="28"/>
          <w:szCs w:val="28"/>
        </w:rPr>
        <w:t xml:space="preserve">  </w:t>
      </w:r>
      <w:r w:rsidRPr="00685593">
        <w:rPr>
          <w:rFonts w:ascii="Times New Roman" w:hAnsi="Times New Roman"/>
          <w:sz w:val="28"/>
          <w:szCs w:val="28"/>
        </w:rPr>
        <w:t>881</w:t>
      </w:r>
      <w:r w:rsidR="00266287">
        <w:rPr>
          <w:rFonts w:ascii="Times New Roman" w:hAnsi="Times New Roman"/>
          <w:sz w:val="28"/>
          <w:szCs w:val="28"/>
        </w:rPr>
        <w:t> </w:t>
      </w:r>
      <w:r w:rsidRPr="00685593">
        <w:rPr>
          <w:rFonts w:ascii="Times New Roman" w:hAnsi="Times New Roman"/>
          <w:sz w:val="28"/>
          <w:szCs w:val="28"/>
        </w:rPr>
        <w:t>970</w:t>
      </w:r>
      <w:r w:rsidR="00266287">
        <w:rPr>
          <w:rFonts w:ascii="Times New Roman" w:hAnsi="Times New Roman"/>
          <w:sz w:val="28"/>
          <w:szCs w:val="28"/>
        </w:rPr>
        <w:t xml:space="preserve"> </w:t>
      </w:r>
      <w:r w:rsidRPr="00685593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>.</w:t>
      </w:r>
    </w:p>
    <w:p w:rsidR="00DC721B" w:rsidRDefault="00DC721B" w:rsidP="00DF1B42">
      <w:pPr>
        <w:pStyle w:val="a8"/>
        <w:tabs>
          <w:tab w:val="left" w:pos="1275"/>
        </w:tabs>
        <w:ind w:firstLine="709"/>
        <w:rPr>
          <w:szCs w:val="28"/>
        </w:rPr>
      </w:pPr>
      <w:r w:rsidRPr="00761892">
        <w:rPr>
          <w:szCs w:val="28"/>
        </w:rPr>
        <w:t>Новый район станет органичной частью города</w:t>
      </w:r>
      <w:r>
        <w:rPr>
          <w:szCs w:val="28"/>
        </w:rPr>
        <w:t>,</w:t>
      </w:r>
      <w:r w:rsidRPr="00761892">
        <w:rPr>
          <w:szCs w:val="28"/>
        </w:rPr>
        <w:t xml:space="preserve"> и сосредоточит в себе большое количество жилья, общественных и социальных объектов, торговой недвижимости. </w:t>
      </w:r>
    </w:p>
    <w:p w:rsidR="00DC721B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892">
        <w:rPr>
          <w:rFonts w:ascii="Times New Roman" w:hAnsi="Times New Roman"/>
          <w:sz w:val="28"/>
          <w:szCs w:val="28"/>
        </w:rPr>
        <w:t>Этот район будет расположен в гораздо более выгодной по сравнению</w:t>
      </w:r>
      <w:r w:rsidR="008B2510">
        <w:rPr>
          <w:rFonts w:ascii="Times New Roman" w:hAnsi="Times New Roman"/>
          <w:sz w:val="28"/>
          <w:szCs w:val="28"/>
        </w:rPr>
        <w:t xml:space="preserve">  </w:t>
      </w:r>
      <w:r w:rsidR="00266287">
        <w:rPr>
          <w:rFonts w:ascii="Times New Roman" w:hAnsi="Times New Roman"/>
          <w:sz w:val="28"/>
          <w:szCs w:val="28"/>
        </w:rPr>
        <w:t xml:space="preserve">       </w:t>
      </w:r>
      <w:r w:rsidRPr="00761892">
        <w:rPr>
          <w:rFonts w:ascii="Times New Roman" w:hAnsi="Times New Roman"/>
          <w:sz w:val="28"/>
          <w:szCs w:val="28"/>
        </w:rPr>
        <w:t>с существующей застройкой экологической зоне. Район будет окружен сосновым бором, расположится вдоль реки Б. Рефт. Поскольку на сегодня площадка свободна от застройки, это даст возможность построить новый район с «нуля» комплексно по самым современным техническим и экологическим требованиям. Данный район не станет спальным районом, а будет включать в себя все объекты инфраструктуры (объекты услуг, гаражи, автостоянки, площадки для малого предпринимательства, и др.). В данном районе предусматривается и обширная коммунальная зона, которая</w:t>
      </w:r>
      <w:r w:rsidR="00266287">
        <w:rPr>
          <w:rFonts w:ascii="Times New Roman" w:hAnsi="Times New Roman"/>
          <w:sz w:val="28"/>
          <w:szCs w:val="28"/>
        </w:rPr>
        <w:t xml:space="preserve"> </w:t>
      </w:r>
      <w:r w:rsidRPr="00761892">
        <w:rPr>
          <w:rFonts w:ascii="Times New Roman" w:hAnsi="Times New Roman"/>
          <w:sz w:val="28"/>
          <w:szCs w:val="28"/>
        </w:rPr>
        <w:t xml:space="preserve">в том числе будет обеспечивать рабочие места для жителей микрорайона. </w:t>
      </w:r>
    </w:p>
    <w:p w:rsidR="00DC721B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586A">
        <w:rPr>
          <w:rFonts w:ascii="Times New Roman" w:hAnsi="Times New Roman"/>
          <w:sz w:val="28"/>
          <w:szCs w:val="28"/>
        </w:rPr>
        <w:t xml:space="preserve">Вопрос активизации жилищного строительства тесно связан с вовлечением в оборот земельных участков. Мероприятия </w:t>
      </w:r>
      <w:r w:rsidR="00DF1B42">
        <w:rPr>
          <w:rFonts w:ascii="Times New Roman" w:hAnsi="Times New Roman"/>
          <w:sz w:val="28"/>
          <w:szCs w:val="28"/>
        </w:rPr>
        <w:t>п</w:t>
      </w:r>
      <w:r w:rsidRPr="0004586A">
        <w:rPr>
          <w:rFonts w:ascii="Times New Roman" w:hAnsi="Times New Roman"/>
          <w:sz w:val="28"/>
          <w:szCs w:val="28"/>
        </w:rPr>
        <w:t>одпрограммы предусматривают обустройство земельных участков, предназначенных для массового жилищного строительства, объектами коммунальной инфраструктуры. Подготовленные земельные участки будут способствовать увеличению объемов строительства жилья экономического класса.</w:t>
      </w:r>
    </w:p>
    <w:p w:rsidR="00DC721B" w:rsidRPr="00EC778C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sz w:val="28"/>
          <w:szCs w:val="28"/>
        </w:rPr>
        <w:t xml:space="preserve">Мероприятия по развитию жилищного комплекса включают </w:t>
      </w:r>
      <w:r>
        <w:rPr>
          <w:rFonts w:ascii="Times New Roman" w:hAnsi="Times New Roman"/>
          <w:sz w:val="28"/>
          <w:szCs w:val="28"/>
        </w:rPr>
        <w:t xml:space="preserve">не только подготовку </w:t>
      </w:r>
      <w:r w:rsidRPr="00EC778C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778C">
        <w:rPr>
          <w:rFonts w:ascii="Times New Roman" w:hAnsi="Times New Roman"/>
          <w:sz w:val="28"/>
          <w:szCs w:val="28"/>
        </w:rPr>
        <w:t>оснащение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EC778C">
        <w:rPr>
          <w:rFonts w:ascii="Times New Roman" w:hAnsi="Times New Roman"/>
          <w:sz w:val="28"/>
          <w:szCs w:val="28"/>
        </w:rPr>
        <w:t xml:space="preserve"> инженерной инфраструктурой,</w:t>
      </w:r>
      <w:r>
        <w:rPr>
          <w:rFonts w:ascii="Times New Roman" w:hAnsi="Times New Roman"/>
          <w:sz w:val="28"/>
          <w:szCs w:val="28"/>
        </w:rPr>
        <w:t xml:space="preserve"> но и </w:t>
      </w:r>
      <w:r w:rsidRPr="00EC778C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земельных участков </w:t>
      </w:r>
      <w:r w:rsidRPr="00EC778C">
        <w:rPr>
          <w:rFonts w:ascii="Times New Roman" w:hAnsi="Times New Roman"/>
          <w:sz w:val="28"/>
          <w:szCs w:val="28"/>
        </w:rPr>
        <w:t>документацией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721B" w:rsidRPr="00761892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892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наличие документации по планировке территории является основополагающим условием для предоставления земельных участков </w:t>
      </w:r>
      <w:r>
        <w:rPr>
          <w:rFonts w:ascii="Times New Roman" w:hAnsi="Times New Roman"/>
          <w:sz w:val="28"/>
          <w:szCs w:val="28"/>
        </w:rPr>
        <w:t>под</w:t>
      </w:r>
      <w:r w:rsidRPr="0076189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</w:t>
      </w:r>
      <w:r w:rsidRPr="00761892">
        <w:rPr>
          <w:rFonts w:ascii="Times New Roman" w:hAnsi="Times New Roman"/>
          <w:sz w:val="28"/>
          <w:szCs w:val="28"/>
        </w:rPr>
        <w:t>роительств</w:t>
      </w:r>
      <w:r>
        <w:rPr>
          <w:rFonts w:ascii="Times New Roman" w:hAnsi="Times New Roman"/>
          <w:sz w:val="28"/>
          <w:szCs w:val="28"/>
        </w:rPr>
        <w:t>о</w:t>
      </w:r>
      <w:r w:rsidRPr="00761892">
        <w:rPr>
          <w:rFonts w:ascii="Times New Roman" w:hAnsi="Times New Roman"/>
          <w:sz w:val="28"/>
          <w:szCs w:val="28"/>
        </w:rPr>
        <w:t>. Разр</w:t>
      </w:r>
      <w:r>
        <w:rPr>
          <w:rFonts w:ascii="Times New Roman" w:hAnsi="Times New Roman"/>
          <w:sz w:val="28"/>
          <w:szCs w:val="28"/>
        </w:rPr>
        <w:t>а</w:t>
      </w:r>
      <w:r w:rsidRPr="00761892">
        <w:rPr>
          <w:rFonts w:ascii="Times New Roman" w:hAnsi="Times New Roman"/>
          <w:sz w:val="28"/>
          <w:szCs w:val="28"/>
        </w:rPr>
        <w:t>ботка документации по планировке территории должна проходить опережающими темпами для обеспечения условий последующего предоставления земельных участков под объекты жилищно-гражданского строительства, в том числе и с подготовкой топографических карт масштабов 1:500-</w:t>
      </w:r>
      <w:r>
        <w:rPr>
          <w:rFonts w:ascii="Times New Roman" w:hAnsi="Times New Roman"/>
          <w:sz w:val="28"/>
          <w:szCs w:val="28"/>
        </w:rPr>
        <w:t xml:space="preserve"> 1:</w:t>
      </w:r>
      <w:r w:rsidRPr="00761892">
        <w:rPr>
          <w:rFonts w:ascii="Times New Roman" w:hAnsi="Times New Roman"/>
          <w:sz w:val="28"/>
          <w:szCs w:val="28"/>
        </w:rPr>
        <w:t>5000, как основы для разработки документации по планировке территории.</w:t>
      </w:r>
    </w:p>
    <w:p w:rsidR="00DC721B" w:rsidRPr="0041742D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86A">
        <w:rPr>
          <w:rFonts w:ascii="Times New Roman" w:hAnsi="Times New Roman"/>
          <w:sz w:val="28"/>
          <w:szCs w:val="28"/>
        </w:rPr>
        <w:lastRenderedPageBreak/>
        <w:t>В соответствии с утвержденным Приказом Министерства строительства и развития инфраструктуры Свердловской области от 20.06.20</w:t>
      </w:r>
      <w:r>
        <w:rPr>
          <w:rFonts w:ascii="Times New Roman" w:hAnsi="Times New Roman"/>
          <w:sz w:val="28"/>
          <w:szCs w:val="28"/>
        </w:rPr>
        <w:t>1</w:t>
      </w:r>
      <w:r w:rsidRPr="0004586A">
        <w:rPr>
          <w:rFonts w:ascii="Times New Roman" w:hAnsi="Times New Roman"/>
          <w:sz w:val="28"/>
          <w:szCs w:val="28"/>
        </w:rPr>
        <w:t xml:space="preserve">3 № 1-П планом-графиком разработки и утверждения документации по планировке территории, на которой планируется осуществление строительства, в Асбестовском городском округе, предусмотрено выполнение документации по планировке территории </w:t>
      </w:r>
      <w:r w:rsidR="008B2510">
        <w:rPr>
          <w:rFonts w:ascii="Times New Roman" w:hAnsi="Times New Roman"/>
          <w:sz w:val="28"/>
          <w:szCs w:val="28"/>
        </w:rPr>
        <w:t xml:space="preserve">       </w:t>
      </w:r>
      <w:r w:rsidRPr="0004586A">
        <w:rPr>
          <w:rFonts w:ascii="Times New Roman" w:hAnsi="Times New Roman"/>
          <w:sz w:val="28"/>
          <w:szCs w:val="28"/>
        </w:rPr>
        <w:t>в 2014-2020 годах площадью 73,8 га с расчетным суммарным вводом общей пощади жилья на этих территориях 138,6 тыс. кв. метров</w:t>
      </w:r>
      <w:r>
        <w:rPr>
          <w:rFonts w:ascii="Times New Roman" w:hAnsi="Times New Roman"/>
          <w:sz w:val="28"/>
          <w:szCs w:val="28"/>
        </w:rPr>
        <w:t xml:space="preserve"> (программой дополнительно предусмотрена разработка проектов планировки </w:t>
      </w:r>
      <w:r w:rsidRPr="0041742D">
        <w:rPr>
          <w:rFonts w:ascii="Times New Roman" w:hAnsi="Times New Roman"/>
          <w:sz w:val="28"/>
          <w:szCs w:val="28"/>
        </w:rPr>
        <w:t xml:space="preserve">территории коллективных садов </w:t>
      </w:r>
      <w:r>
        <w:rPr>
          <w:rFonts w:ascii="Times New Roman" w:hAnsi="Times New Roman"/>
          <w:sz w:val="28"/>
          <w:szCs w:val="28"/>
        </w:rPr>
        <w:t xml:space="preserve">площадью 180 га </w:t>
      </w:r>
      <w:r w:rsidRPr="0041742D">
        <w:rPr>
          <w:rFonts w:ascii="Times New Roman" w:hAnsi="Times New Roman"/>
          <w:sz w:val="28"/>
          <w:szCs w:val="28"/>
        </w:rPr>
        <w:t xml:space="preserve">для перевода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1742D">
        <w:rPr>
          <w:rFonts w:ascii="Times New Roman" w:hAnsi="Times New Roman"/>
          <w:sz w:val="28"/>
          <w:szCs w:val="28"/>
        </w:rPr>
        <w:t>под индивидуальную жилую застройку</w:t>
      </w:r>
      <w:r>
        <w:rPr>
          <w:rFonts w:ascii="Times New Roman" w:hAnsi="Times New Roman"/>
          <w:sz w:val="28"/>
          <w:szCs w:val="28"/>
        </w:rPr>
        <w:t>).</w:t>
      </w:r>
    </w:p>
    <w:p w:rsidR="00DC721B" w:rsidRPr="0004586A" w:rsidRDefault="00AB442A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01.01.2016</w:t>
      </w:r>
      <w:r w:rsidR="00DC721B" w:rsidRPr="0004586A">
        <w:rPr>
          <w:rFonts w:ascii="Times New Roman" w:hAnsi="Times New Roman"/>
          <w:sz w:val="28"/>
          <w:szCs w:val="28"/>
        </w:rPr>
        <w:t xml:space="preserve"> площадь территорий, для которых разработаны проекты документации по планировке территории, составляет 146,5 га </w:t>
      </w:r>
      <w:r w:rsidR="008B2510">
        <w:rPr>
          <w:rFonts w:ascii="Times New Roman" w:hAnsi="Times New Roman"/>
          <w:sz w:val="28"/>
          <w:szCs w:val="28"/>
        </w:rPr>
        <w:t xml:space="preserve">                  </w:t>
      </w:r>
      <w:r w:rsidR="00DC721B" w:rsidRPr="0004586A">
        <w:rPr>
          <w:rFonts w:ascii="Times New Roman" w:hAnsi="Times New Roman"/>
          <w:sz w:val="28"/>
          <w:szCs w:val="28"/>
        </w:rPr>
        <w:t>с расчетным суммарным вводом общей пощади жилья на этих территориях</w:t>
      </w:r>
      <w:r w:rsidR="008B2510">
        <w:rPr>
          <w:rFonts w:ascii="Times New Roman" w:hAnsi="Times New Roman"/>
          <w:sz w:val="28"/>
          <w:szCs w:val="28"/>
        </w:rPr>
        <w:t xml:space="preserve">   </w:t>
      </w:r>
      <w:r w:rsidR="00DC721B" w:rsidRPr="0004586A">
        <w:rPr>
          <w:rFonts w:ascii="Times New Roman" w:hAnsi="Times New Roman"/>
          <w:sz w:val="28"/>
          <w:szCs w:val="28"/>
        </w:rPr>
        <w:t xml:space="preserve"> 499,0 тыс. кв. метров.</w:t>
      </w:r>
    </w:p>
    <w:p w:rsidR="00DC721B" w:rsidRPr="003E6B2C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B2C">
        <w:rPr>
          <w:rFonts w:ascii="Times New Roman" w:hAnsi="Times New Roman"/>
          <w:sz w:val="28"/>
          <w:szCs w:val="28"/>
        </w:rPr>
        <w:t xml:space="preserve">2. В целях повышения доступности жилья для населения </w:t>
      </w:r>
      <w:r>
        <w:rPr>
          <w:rFonts w:ascii="Times New Roman" w:hAnsi="Times New Roman"/>
          <w:sz w:val="28"/>
          <w:szCs w:val="28"/>
        </w:rPr>
        <w:t>является обеспечение комфортных условий проживания, в том числе перевод жилищного фонда на природный газ.</w:t>
      </w:r>
    </w:p>
    <w:p w:rsidR="00DC721B" w:rsidRPr="00DD07EF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07EF">
        <w:rPr>
          <w:rFonts w:ascii="Times New Roman" w:hAnsi="Times New Roman"/>
          <w:sz w:val="28"/>
          <w:szCs w:val="28"/>
        </w:rPr>
        <w:t>существляемая в предыдущие годы газификация А</w:t>
      </w:r>
      <w:r>
        <w:rPr>
          <w:rFonts w:ascii="Times New Roman" w:hAnsi="Times New Roman"/>
          <w:sz w:val="28"/>
          <w:szCs w:val="28"/>
        </w:rPr>
        <w:t xml:space="preserve">сбестовского городского округа </w:t>
      </w:r>
      <w:r w:rsidRPr="00DD07EF">
        <w:rPr>
          <w:rFonts w:ascii="Times New Roman" w:hAnsi="Times New Roman"/>
          <w:sz w:val="28"/>
          <w:szCs w:val="28"/>
        </w:rPr>
        <w:t xml:space="preserve">позволила избавить основную часть населения от заготовки твердого топлива для отопления жилых помещений, от неудобств из-за перебоев </w:t>
      </w:r>
      <w:r w:rsidR="008B2510">
        <w:rPr>
          <w:rFonts w:ascii="Times New Roman" w:hAnsi="Times New Roman"/>
          <w:sz w:val="28"/>
          <w:szCs w:val="28"/>
        </w:rPr>
        <w:t xml:space="preserve"> </w:t>
      </w:r>
      <w:r w:rsidRPr="00DD07EF">
        <w:rPr>
          <w:rFonts w:ascii="Times New Roman" w:hAnsi="Times New Roman"/>
          <w:sz w:val="28"/>
          <w:szCs w:val="28"/>
        </w:rPr>
        <w:t xml:space="preserve">в обеспечении баллонным газом для приготовления пищи. </w:t>
      </w:r>
    </w:p>
    <w:p w:rsidR="00DC721B" w:rsidRPr="00DD07EF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EF">
        <w:rPr>
          <w:rFonts w:ascii="Times New Roman" w:hAnsi="Times New Roman"/>
          <w:sz w:val="28"/>
          <w:szCs w:val="28"/>
        </w:rPr>
        <w:t xml:space="preserve">Кроме того, теплоснабжающие организации несли огромные расходы по приобретению котельно-печного топлива. Прокладка газовых сетей позволила ликвидировать котельные, работающие на твердом и жидком топливе, тем самым значительно снизив расходы по эксплуатации котельных и улучшив экологическую ситуацию. </w:t>
      </w:r>
    </w:p>
    <w:p w:rsidR="00DC721B" w:rsidRDefault="00AB442A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2009 - 2015</w:t>
      </w:r>
      <w:r w:rsidR="00DC721B" w:rsidRPr="00DD07EF">
        <w:rPr>
          <w:rFonts w:ascii="Times New Roman" w:hAnsi="Times New Roman"/>
          <w:sz w:val="28"/>
          <w:szCs w:val="28"/>
        </w:rPr>
        <w:t xml:space="preserve"> годах на выделенные средства местного бюджета </w:t>
      </w:r>
      <w:r w:rsidR="008B2510">
        <w:rPr>
          <w:rFonts w:ascii="Times New Roman" w:hAnsi="Times New Roman"/>
          <w:sz w:val="28"/>
          <w:szCs w:val="28"/>
        </w:rPr>
        <w:t xml:space="preserve">              </w:t>
      </w:r>
      <w:r w:rsidR="00DC721B" w:rsidRPr="00DD07EF">
        <w:rPr>
          <w:rFonts w:ascii="Times New Roman" w:hAnsi="Times New Roman"/>
          <w:sz w:val="28"/>
          <w:szCs w:val="28"/>
        </w:rPr>
        <w:t xml:space="preserve">в размере около </w:t>
      </w:r>
      <w:r w:rsidR="00DC721B">
        <w:rPr>
          <w:rFonts w:ascii="Times New Roman" w:hAnsi="Times New Roman"/>
          <w:sz w:val="28"/>
          <w:szCs w:val="28"/>
        </w:rPr>
        <w:t>16,</w:t>
      </w:r>
      <w:r w:rsidR="00DC721B" w:rsidRPr="00F05391">
        <w:rPr>
          <w:rFonts w:ascii="Times New Roman" w:hAnsi="Times New Roman"/>
          <w:sz w:val="28"/>
          <w:szCs w:val="28"/>
        </w:rPr>
        <w:t>7 млн.</w:t>
      </w:r>
      <w:r w:rsidR="00DC721B" w:rsidRPr="00DD07EF">
        <w:rPr>
          <w:rFonts w:ascii="Times New Roman" w:hAnsi="Times New Roman"/>
          <w:sz w:val="28"/>
          <w:szCs w:val="28"/>
        </w:rPr>
        <w:t xml:space="preserve"> рублей с привлечением других источников финансирования в размере </w:t>
      </w:r>
      <w:r w:rsidR="00DC721B">
        <w:rPr>
          <w:rFonts w:ascii="Times New Roman" w:hAnsi="Times New Roman"/>
          <w:sz w:val="28"/>
          <w:szCs w:val="28"/>
        </w:rPr>
        <w:t xml:space="preserve">14,0 </w:t>
      </w:r>
      <w:r w:rsidR="00DC721B" w:rsidRPr="00F05391">
        <w:rPr>
          <w:rFonts w:ascii="Times New Roman" w:hAnsi="Times New Roman"/>
          <w:sz w:val="28"/>
          <w:szCs w:val="28"/>
        </w:rPr>
        <w:t>млн.</w:t>
      </w:r>
      <w:r w:rsidR="00DC721B" w:rsidRPr="00DD07EF">
        <w:rPr>
          <w:rFonts w:ascii="Times New Roman" w:hAnsi="Times New Roman"/>
          <w:sz w:val="28"/>
          <w:szCs w:val="28"/>
        </w:rPr>
        <w:t xml:space="preserve"> рублей построены подводящие газопроводы высокого давления до котельной и очистных сооружений канализации лагеря отдыха «Заря» поселка Белокаменный</w:t>
      </w:r>
      <w:r w:rsidR="00DC721B">
        <w:rPr>
          <w:rFonts w:ascii="Times New Roman" w:hAnsi="Times New Roman"/>
          <w:sz w:val="28"/>
          <w:szCs w:val="28"/>
        </w:rPr>
        <w:t xml:space="preserve">, </w:t>
      </w:r>
      <w:r w:rsidR="00DC721B" w:rsidRPr="00DD07EF">
        <w:rPr>
          <w:rFonts w:ascii="Times New Roman" w:hAnsi="Times New Roman"/>
          <w:sz w:val="28"/>
          <w:szCs w:val="28"/>
        </w:rPr>
        <w:t>к котельной поселка Красноармейский,</w:t>
      </w:r>
      <w:r w:rsidR="00DC721B">
        <w:rPr>
          <w:rFonts w:ascii="Times New Roman" w:hAnsi="Times New Roman"/>
          <w:sz w:val="28"/>
          <w:szCs w:val="28"/>
        </w:rPr>
        <w:t xml:space="preserve"> </w:t>
      </w:r>
      <w:r w:rsidR="008B2510">
        <w:rPr>
          <w:rFonts w:ascii="Times New Roman" w:hAnsi="Times New Roman"/>
          <w:sz w:val="28"/>
          <w:szCs w:val="28"/>
        </w:rPr>
        <w:t xml:space="preserve">     </w:t>
      </w:r>
      <w:r w:rsidR="00DC721B">
        <w:rPr>
          <w:rFonts w:ascii="Times New Roman" w:hAnsi="Times New Roman"/>
          <w:sz w:val="28"/>
          <w:szCs w:val="28"/>
        </w:rPr>
        <w:t>а также выполнены работы по техническому перевооружению котельной поселка Красноармейский в целях перевода на природный газ</w:t>
      </w:r>
      <w:r w:rsidR="00DC721B" w:rsidRPr="00DD07EF">
        <w:rPr>
          <w:rFonts w:ascii="Times New Roman" w:hAnsi="Times New Roman"/>
          <w:sz w:val="28"/>
          <w:szCs w:val="28"/>
        </w:rPr>
        <w:t xml:space="preserve">. </w:t>
      </w:r>
    </w:p>
    <w:p w:rsidR="00DC721B" w:rsidRPr="00DD07EF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7EF">
        <w:rPr>
          <w:rFonts w:ascii="Times New Roman" w:hAnsi="Times New Roman"/>
          <w:sz w:val="28"/>
          <w:szCs w:val="28"/>
        </w:rPr>
        <w:t>С вводом в эксплуатацию данных газопроводов создана техническая возможность для сетевого газоснабжения и развития газификации всех населенных пунктов Асбестовского городского округа: города Асбеста, поселков Белокаменный и Красноармейский. Тем не менее, на начало 2014 года сетевой газ не доведен до нескольких жилых районов города Асбеста: поселков Ново-Окунево, Старо-Окунево, Лесозавод, Ново-Кирпичный, Старо-Кирпичный, не охвачены разводящей сетью поселок Красноармейский, частично поселок Белокаменны</w:t>
      </w:r>
      <w:r w:rsidR="00266287">
        <w:rPr>
          <w:rFonts w:ascii="Times New Roman" w:hAnsi="Times New Roman"/>
          <w:sz w:val="28"/>
          <w:szCs w:val="28"/>
        </w:rPr>
        <w:t>й и частично город Асбест.</w:t>
      </w:r>
    </w:p>
    <w:p w:rsidR="00DC721B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463">
        <w:rPr>
          <w:rFonts w:ascii="Times New Roman" w:hAnsi="Times New Roman"/>
          <w:sz w:val="28"/>
          <w:szCs w:val="28"/>
        </w:rPr>
        <w:t>В настоящее время большая часть территории Асбестовского городского округа газифицирована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463">
        <w:rPr>
          <w:rFonts w:ascii="Times New Roman" w:hAnsi="Times New Roman"/>
          <w:sz w:val="28"/>
          <w:szCs w:val="28"/>
        </w:rPr>
        <w:t xml:space="preserve">(80%). За период 2009-2012 построены распределительные газопроводы низкого давления общей протяженностью 36 км, переведены на природный газ 937 </w:t>
      </w:r>
      <w:r>
        <w:rPr>
          <w:rFonts w:ascii="Times New Roman" w:hAnsi="Times New Roman"/>
          <w:sz w:val="28"/>
          <w:szCs w:val="28"/>
        </w:rPr>
        <w:t xml:space="preserve">объектов, </w:t>
      </w:r>
      <w:r w:rsidRPr="008D7463">
        <w:rPr>
          <w:rFonts w:ascii="Times New Roman" w:hAnsi="Times New Roman"/>
          <w:sz w:val="28"/>
          <w:szCs w:val="28"/>
        </w:rPr>
        <w:t xml:space="preserve">из них 576 индивидуальных жилых </w:t>
      </w:r>
      <w:r w:rsidRPr="008D7463">
        <w:rPr>
          <w:rFonts w:ascii="Times New Roman" w:hAnsi="Times New Roman"/>
          <w:sz w:val="28"/>
          <w:szCs w:val="28"/>
        </w:rPr>
        <w:lastRenderedPageBreak/>
        <w:t>домов</w:t>
      </w:r>
      <w:r>
        <w:rPr>
          <w:rFonts w:ascii="Times New Roman" w:hAnsi="Times New Roman"/>
          <w:sz w:val="28"/>
          <w:szCs w:val="28"/>
        </w:rPr>
        <w:t>, 361 квартир муниципального жилищного фонда Асбестовского городского округа.</w:t>
      </w:r>
      <w:r w:rsidRPr="008D7463">
        <w:rPr>
          <w:rFonts w:ascii="Times New Roman" w:hAnsi="Times New Roman"/>
          <w:sz w:val="28"/>
          <w:szCs w:val="28"/>
        </w:rPr>
        <w:t xml:space="preserve"> </w:t>
      </w:r>
    </w:p>
    <w:p w:rsidR="00DC721B" w:rsidRPr="00143C15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15">
        <w:rPr>
          <w:rFonts w:ascii="Times New Roman" w:hAnsi="Times New Roman"/>
          <w:sz w:val="28"/>
          <w:szCs w:val="28"/>
        </w:rPr>
        <w:t xml:space="preserve">Котельная в муниципальном автономном учреждении «Детский загородный лагерь «Заря» в настоящее время работает на мазутном топливе, экономически неэффективна, устарела и находится в крайне неудовлетворительном состоянии. Модернизация котельной предусмотрена разработанным НПО «Прометей» проектом «Техническое перевооружение системы теплоснабжения МАУ «Детский загородный оздоровительный лагерь «Заря» поселка Белокаменный Свердловской области. Для перевода котельной на природный газ в 2012 году </w:t>
      </w:r>
      <w:r w:rsidR="008B2510">
        <w:rPr>
          <w:rFonts w:ascii="Times New Roman" w:hAnsi="Times New Roman"/>
          <w:sz w:val="28"/>
          <w:szCs w:val="28"/>
        </w:rPr>
        <w:t xml:space="preserve">     </w:t>
      </w:r>
      <w:r w:rsidRPr="00143C15">
        <w:rPr>
          <w:rFonts w:ascii="Times New Roman" w:hAnsi="Times New Roman"/>
          <w:sz w:val="28"/>
          <w:szCs w:val="28"/>
        </w:rPr>
        <w:t>к котельной подведен магистральный газопровод высокого давления.</w:t>
      </w:r>
    </w:p>
    <w:p w:rsidR="00DC721B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15">
        <w:rPr>
          <w:rFonts w:ascii="Times New Roman" w:hAnsi="Times New Roman"/>
          <w:sz w:val="28"/>
          <w:szCs w:val="28"/>
        </w:rPr>
        <w:t>Решение задач по развитию газификации Асбестовского</w:t>
      </w:r>
      <w:r w:rsidRPr="00DD07EF">
        <w:rPr>
          <w:rFonts w:ascii="Times New Roman" w:hAnsi="Times New Roman"/>
          <w:sz w:val="28"/>
          <w:szCs w:val="28"/>
        </w:rPr>
        <w:t xml:space="preserve"> городского округа требует значительных расходов местного бюджета и невозможно без привлечения целевой финансовой поддержки из областного бюджета. Данные обстоятельства подтверждают обоснованность и необходимость решения изложенных проблем программно-целевым методом, поскольку решение задач по газификации позволит обеспечить возможность для улучшения жилищных условий и качества жизни населения, создать условия для устойчивого развития жилищно-коммунального хозяйства, оказав тем самым существенное положительное влияние на социальное благополучие общества.</w:t>
      </w:r>
    </w:p>
    <w:p w:rsidR="00DC721B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78C">
        <w:rPr>
          <w:rFonts w:ascii="Times New Roman" w:hAnsi="Times New Roman"/>
          <w:sz w:val="28"/>
          <w:szCs w:val="28"/>
        </w:rPr>
        <w:t xml:space="preserve">Комплексный характер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как в целом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программе, так и по подпрограммам в составе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78C">
        <w:rPr>
          <w:rFonts w:ascii="Times New Roman" w:hAnsi="Times New Roman"/>
          <w:sz w:val="28"/>
          <w:szCs w:val="28"/>
        </w:rPr>
        <w:t>программы.</w:t>
      </w:r>
    </w:p>
    <w:p w:rsidR="00DC721B" w:rsidRDefault="00DC721B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78C">
        <w:rPr>
          <w:rFonts w:ascii="Times New Roman" w:hAnsi="Times New Roman"/>
          <w:sz w:val="28"/>
          <w:szCs w:val="28"/>
        </w:rPr>
        <w:t xml:space="preserve">При использовании программно-целевого метода могут возникнуть риски, связанные с недостаточным ресурсным обеспечением программных мероприятий, невыполнением </w:t>
      </w:r>
      <w:r>
        <w:rPr>
          <w:rFonts w:ascii="Times New Roman" w:hAnsi="Times New Roman"/>
          <w:sz w:val="28"/>
          <w:szCs w:val="28"/>
        </w:rPr>
        <w:t xml:space="preserve">исполнителями </w:t>
      </w:r>
      <w:bookmarkStart w:id="3" w:name="page13"/>
      <w:bookmarkEnd w:id="3"/>
      <w:r w:rsidRPr="00EC778C">
        <w:rPr>
          <w:rFonts w:ascii="Times New Roman" w:hAnsi="Times New Roman"/>
          <w:sz w:val="28"/>
          <w:szCs w:val="28"/>
        </w:rPr>
        <w:t xml:space="preserve">принятых обязательств 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C778C">
        <w:rPr>
          <w:rFonts w:ascii="Times New Roman" w:hAnsi="Times New Roman"/>
          <w:sz w:val="28"/>
          <w:szCs w:val="28"/>
        </w:rPr>
        <w:t xml:space="preserve"> программных мероприятий, что может привести к созданию не завершенных строительством объектов, невыполнению программных целей. Способами ограничения указанных рисков являются: осуществление постоянного мониторинга реализации программных мероприятий, своевременная корректировка мероприятий и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программы, перераспределение финансовых ресурсов с учетом приоритетности мероприятий и в зависимости от темпов достижения поставленных целей, распределение функций, полномочий и ответственности исполнителей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программы.</w:t>
      </w:r>
    </w:p>
    <w:p w:rsidR="00DF1B42" w:rsidRPr="00EC778C" w:rsidRDefault="00DF1B42" w:rsidP="00DF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721B" w:rsidRDefault="00DC721B" w:rsidP="008D7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hanging="1277"/>
        <w:jc w:val="both"/>
        <w:rPr>
          <w:rFonts w:ascii="Times New Roman" w:hAnsi="Times New Roman"/>
          <w:b/>
          <w:bCs/>
          <w:sz w:val="28"/>
          <w:szCs w:val="28"/>
        </w:rPr>
      </w:pPr>
      <w:r w:rsidRPr="00EC778C">
        <w:rPr>
          <w:rFonts w:ascii="Times New Roman" w:hAnsi="Times New Roman"/>
          <w:b/>
          <w:bCs/>
          <w:sz w:val="28"/>
          <w:szCs w:val="28"/>
        </w:rPr>
        <w:t xml:space="preserve">Раздел 2. Цели, задачи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программы, </w:t>
      </w:r>
      <w:r w:rsidRPr="00EC778C">
        <w:rPr>
          <w:rFonts w:ascii="Times New Roman" w:hAnsi="Times New Roman"/>
          <w:b/>
          <w:bCs/>
          <w:sz w:val="28"/>
          <w:szCs w:val="28"/>
        </w:rPr>
        <w:t xml:space="preserve">целевые показатели </w:t>
      </w:r>
    </w:p>
    <w:p w:rsidR="00DC721B" w:rsidRPr="00EC778C" w:rsidRDefault="00DC721B" w:rsidP="008D7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hanging="1277"/>
        <w:jc w:val="center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EC778C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C721B" w:rsidRDefault="00DC721B" w:rsidP="008D7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Полный перечень целей и задач муниципальной программы (подпрограмм) приведен в паспорте к настоящей муниципальной программе. 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целевых показателей по годам реализации приведены </w:t>
      </w:r>
      <w:r w:rsidR="008B251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приложении № 1 к муниципальной программе.</w:t>
      </w:r>
    </w:p>
    <w:p w:rsidR="00DC721B" w:rsidRPr="00EC778C" w:rsidRDefault="00DC721B" w:rsidP="008D7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80" w:hanging="2269"/>
        <w:jc w:val="center"/>
        <w:rPr>
          <w:rFonts w:ascii="Times New Roman" w:hAnsi="Times New Roman"/>
          <w:sz w:val="24"/>
          <w:szCs w:val="24"/>
        </w:rPr>
      </w:pPr>
      <w:r w:rsidRPr="00EC778C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3. План мероприятий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C778C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DC721B" w:rsidRDefault="00DC721B" w:rsidP="008D7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21B" w:rsidRPr="00EC778C" w:rsidRDefault="00DC721B" w:rsidP="00DF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96AB2">
        <w:rPr>
          <w:rFonts w:ascii="Times New Roman" w:hAnsi="Times New Roman"/>
          <w:sz w:val="28"/>
          <w:szCs w:val="28"/>
        </w:rPr>
        <w:t>Для достижения целей муниципальной программы и выполнения поставлен</w:t>
      </w:r>
      <w:r>
        <w:rPr>
          <w:rFonts w:ascii="Times New Roman" w:hAnsi="Times New Roman"/>
          <w:sz w:val="28"/>
          <w:szCs w:val="28"/>
        </w:rPr>
        <w:t>н</w:t>
      </w:r>
      <w:r w:rsidRPr="00A96AB2">
        <w:rPr>
          <w:rFonts w:ascii="Times New Roman" w:hAnsi="Times New Roman"/>
          <w:sz w:val="28"/>
          <w:szCs w:val="28"/>
        </w:rPr>
        <w:t xml:space="preserve">ых задач разработан план мероприятий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96AB2">
        <w:rPr>
          <w:rFonts w:ascii="Times New Roman" w:hAnsi="Times New Roman"/>
          <w:sz w:val="28"/>
          <w:szCs w:val="28"/>
        </w:rPr>
        <w:t>2 к настоящей муници</w:t>
      </w:r>
      <w:r>
        <w:rPr>
          <w:rFonts w:ascii="Times New Roman" w:hAnsi="Times New Roman"/>
          <w:sz w:val="28"/>
          <w:szCs w:val="28"/>
        </w:rPr>
        <w:t>паль</w:t>
      </w:r>
      <w:r w:rsidRPr="00A96AB2">
        <w:rPr>
          <w:rFonts w:ascii="Times New Roman" w:hAnsi="Times New Roman"/>
          <w:sz w:val="28"/>
          <w:szCs w:val="28"/>
        </w:rPr>
        <w:t>ной программе).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C778C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в рамках выполнения мероприятий 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приведё</w:t>
      </w:r>
      <w:r w:rsidRPr="00EC778C">
        <w:rPr>
          <w:rFonts w:ascii="Times New Roman" w:hAnsi="Times New Roman"/>
          <w:sz w:val="28"/>
          <w:szCs w:val="28"/>
        </w:rPr>
        <w:t xml:space="preserve">н в приложении № 3 </w:t>
      </w:r>
      <w:r w:rsidR="008B2510">
        <w:rPr>
          <w:rFonts w:ascii="Times New Roman" w:hAnsi="Times New Roman"/>
          <w:sz w:val="28"/>
          <w:szCs w:val="28"/>
        </w:rPr>
        <w:t xml:space="preserve">                     </w:t>
      </w:r>
      <w:r w:rsidRPr="00EC778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настоящей 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программе. </w:t>
      </w:r>
    </w:p>
    <w:p w:rsidR="00DC721B" w:rsidRPr="002E190A" w:rsidRDefault="00DC721B" w:rsidP="00DF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90A">
        <w:rPr>
          <w:rFonts w:ascii="Times New Roman" w:hAnsi="Times New Roman"/>
          <w:sz w:val="28"/>
          <w:szCs w:val="28"/>
        </w:rPr>
        <w:t>3. Перечень мероприятий по разработке проектов планировок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E190A">
        <w:rPr>
          <w:rFonts w:ascii="Times New Roman" w:hAnsi="Times New Roman"/>
          <w:sz w:val="28"/>
          <w:szCs w:val="28"/>
        </w:rPr>
        <w:t>Асбестовского городского округа, проектно-сметной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90A">
        <w:rPr>
          <w:rFonts w:ascii="Times New Roman" w:hAnsi="Times New Roman"/>
          <w:sz w:val="28"/>
          <w:szCs w:val="28"/>
        </w:rPr>
        <w:t xml:space="preserve">на строительство объектов капитального строительства в рамках выполнения мероприятий муниципальной программы приведён в приложении № 4 </w:t>
      </w:r>
      <w:r w:rsidR="008B2510">
        <w:rPr>
          <w:rFonts w:ascii="Times New Roman" w:hAnsi="Times New Roman"/>
          <w:sz w:val="28"/>
          <w:szCs w:val="28"/>
        </w:rPr>
        <w:t xml:space="preserve">                    </w:t>
      </w:r>
      <w:r w:rsidRPr="002E190A">
        <w:rPr>
          <w:rFonts w:ascii="Times New Roman" w:hAnsi="Times New Roman"/>
          <w:sz w:val="28"/>
          <w:szCs w:val="28"/>
        </w:rPr>
        <w:t xml:space="preserve">к настоящей муниципальной программе. </w:t>
      </w:r>
    </w:p>
    <w:p w:rsidR="00DC721B" w:rsidRPr="004014E0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014E0">
        <w:rPr>
          <w:rFonts w:ascii="Times New Roman" w:hAnsi="Times New Roman"/>
          <w:sz w:val="28"/>
          <w:szCs w:val="28"/>
        </w:rPr>
        <w:t xml:space="preserve">Исполнителями </w:t>
      </w:r>
      <w:r>
        <w:rPr>
          <w:rFonts w:ascii="Times New Roman" w:hAnsi="Times New Roman"/>
          <w:sz w:val="28"/>
          <w:szCs w:val="28"/>
        </w:rPr>
        <w:t xml:space="preserve">выполнения мероприятий муниципальной программы </w:t>
      </w:r>
      <w:r w:rsidRPr="004014E0">
        <w:rPr>
          <w:rFonts w:ascii="Times New Roman" w:hAnsi="Times New Roman"/>
          <w:sz w:val="28"/>
          <w:szCs w:val="28"/>
        </w:rPr>
        <w:t xml:space="preserve">являются: 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Управление архитектуры и градостроительства администрации Асбестовского городского округа </w:t>
      </w:r>
      <w:r w:rsidRPr="00EC778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оказанию содействия в организации </w:t>
      </w:r>
      <w:r w:rsidRPr="00EC778C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EC778C">
        <w:rPr>
          <w:rFonts w:ascii="Times New Roman" w:hAnsi="Times New Roman"/>
          <w:sz w:val="28"/>
          <w:szCs w:val="28"/>
        </w:rPr>
        <w:t xml:space="preserve"> объектов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>, предусмотренных 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EC778C">
        <w:rPr>
          <w:rFonts w:ascii="Times New Roman" w:hAnsi="Times New Roman"/>
          <w:sz w:val="28"/>
          <w:szCs w:val="28"/>
        </w:rPr>
        <w:t xml:space="preserve">; </w:t>
      </w:r>
    </w:p>
    <w:p w:rsidR="00DC721B" w:rsidRPr="0009093A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Муниципальное казённое учреждение Асбестовского городского округа «Центр обеспечения деятельности органов местного самоуправления» по размещению заказов, проведению торгов на выполнение мероприятий, предусмотренных 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EC778C">
        <w:rPr>
          <w:rFonts w:ascii="Times New Roman" w:hAnsi="Times New Roman"/>
          <w:sz w:val="28"/>
          <w:szCs w:val="28"/>
        </w:rPr>
        <w:t xml:space="preserve">; </w:t>
      </w:r>
    </w:p>
    <w:p w:rsidR="00DC721B" w:rsidRDefault="00DC721B" w:rsidP="00DF1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</w:t>
      </w:r>
      <w:r w:rsidRPr="00EC778C">
        <w:rPr>
          <w:rFonts w:ascii="Times New Roman" w:hAnsi="Times New Roman"/>
          <w:sz w:val="28"/>
          <w:szCs w:val="28"/>
        </w:rPr>
        <w:t>озяйствующие субъекты - застройщики, предприятия строительного комплекса по строительству жилых домов,</w:t>
      </w:r>
      <w:r>
        <w:rPr>
          <w:rFonts w:ascii="Times New Roman" w:hAnsi="Times New Roman"/>
          <w:sz w:val="28"/>
          <w:szCs w:val="28"/>
        </w:rPr>
        <w:t xml:space="preserve"> объектов инженерно-коммунальной инфраструктуры, в том числе объектов газификации, предусмотренных муниципальной</w:t>
      </w:r>
      <w:r w:rsidRPr="00EC778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ой.</w:t>
      </w:r>
    </w:p>
    <w:p w:rsidR="00DC721B" w:rsidRDefault="00DC721B" w:rsidP="002E1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80" w:hanging="226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page21"/>
      <w:bookmarkStart w:id="5" w:name="page23"/>
      <w:bookmarkEnd w:id="4"/>
      <w:bookmarkEnd w:id="5"/>
    </w:p>
    <w:p w:rsidR="00DF1B42" w:rsidRPr="00067643" w:rsidRDefault="00DF1B42" w:rsidP="00DF1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F1B42" w:rsidRPr="00067643" w:rsidSect="00932D39">
          <w:headerReference w:type="default" r:id="rId8"/>
          <w:pgSz w:w="11906" w:h="16838"/>
          <w:pgMar w:top="1134" w:right="567" w:bottom="1134" w:left="1418" w:header="567" w:footer="454" w:gutter="0"/>
          <w:pgNumType w:start="3"/>
          <w:cols w:space="708"/>
          <w:docGrid w:linePitch="360"/>
        </w:sectPr>
      </w:pPr>
    </w:p>
    <w:p w:rsidR="00DC721B" w:rsidRDefault="00DC721B" w:rsidP="00067643">
      <w:pPr>
        <w:spacing w:after="0" w:line="240" w:lineRule="auto"/>
      </w:pPr>
    </w:p>
    <w:sectPr w:rsidR="00DC721B" w:rsidSect="00067643">
      <w:pgSz w:w="16838" w:h="11906" w:orient="landscape"/>
      <w:pgMar w:top="851" w:right="85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62" w:rsidRDefault="00330B62" w:rsidP="00032AA7">
      <w:pPr>
        <w:spacing w:after="0" w:line="240" w:lineRule="auto"/>
      </w:pPr>
      <w:r>
        <w:separator/>
      </w:r>
    </w:p>
  </w:endnote>
  <w:endnote w:type="continuationSeparator" w:id="1">
    <w:p w:rsidR="00330B62" w:rsidRDefault="00330B62" w:rsidP="000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62" w:rsidRDefault="00330B62" w:rsidP="00032AA7">
      <w:pPr>
        <w:spacing w:after="0" w:line="240" w:lineRule="auto"/>
      </w:pPr>
      <w:r>
        <w:separator/>
      </w:r>
    </w:p>
  </w:footnote>
  <w:footnote w:type="continuationSeparator" w:id="1">
    <w:p w:rsidR="00330B62" w:rsidRDefault="00330B62" w:rsidP="0003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40FD" w:rsidRPr="003240FD" w:rsidRDefault="002D53E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240FD">
          <w:rPr>
            <w:rFonts w:ascii="Times New Roman" w:hAnsi="Times New Roman"/>
            <w:sz w:val="28"/>
            <w:szCs w:val="28"/>
          </w:rPr>
          <w:fldChar w:fldCharType="begin"/>
        </w:r>
        <w:r w:rsidR="003240FD" w:rsidRPr="003240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240FD">
          <w:rPr>
            <w:rFonts w:ascii="Times New Roman" w:hAnsi="Times New Roman"/>
            <w:sz w:val="28"/>
            <w:szCs w:val="28"/>
          </w:rPr>
          <w:fldChar w:fldCharType="separate"/>
        </w:r>
        <w:r w:rsidR="005D6350">
          <w:rPr>
            <w:rFonts w:ascii="Times New Roman" w:hAnsi="Times New Roman"/>
            <w:noProof/>
            <w:sz w:val="28"/>
            <w:szCs w:val="28"/>
          </w:rPr>
          <w:t>3</w:t>
        </w:r>
        <w:r w:rsidRPr="003240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F2"/>
    <w:multiLevelType w:val="hybridMultilevel"/>
    <w:tmpl w:val="1414930E"/>
    <w:lvl w:ilvl="0" w:tplc="A84275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3F10649"/>
    <w:multiLevelType w:val="hybridMultilevel"/>
    <w:tmpl w:val="171283F6"/>
    <w:lvl w:ilvl="0" w:tplc="167E37C6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34C6472E"/>
    <w:multiLevelType w:val="hybridMultilevel"/>
    <w:tmpl w:val="FFE21FB2"/>
    <w:lvl w:ilvl="0" w:tplc="14E4D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43E1D"/>
    <w:multiLevelType w:val="hybridMultilevel"/>
    <w:tmpl w:val="E6F2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B47AB"/>
    <w:multiLevelType w:val="hybridMultilevel"/>
    <w:tmpl w:val="BDDE8E00"/>
    <w:lvl w:ilvl="0" w:tplc="F470085A">
      <w:start w:val="1"/>
      <w:numFmt w:val="decimal"/>
      <w:lvlText w:val="%1)"/>
      <w:lvlJc w:val="left"/>
      <w:pPr>
        <w:ind w:left="1005" w:hanging="6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337F77"/>
    <w:multiLevelType w:val="hybridMultilevel"/>
    <w:tmpl w:val="386E24F4"/>
    <w:lvl w:ilvl="0" w:tplc="9AF2BD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AA7"/>
    <w:rsid w:val="00026F36"/>
    <w:rsid w:val="0003169E"/>
    <w:rsid w:val="00032AA7"/>
    <w:rsid w:val="0004586A"/>
    <w:rsid w:val="000556F4"/>
    <w:rsid w:val="00062455"/>
    <w:rsid w:val="00063E11"/>
    <w:rsid w:val="00064651"/>
    <w:rsid w:val="00064C4F"/>
    <w:rsid w:val="00067643"/>
    <w:rsid w:val="000763D3"/>
    <w:rsid w:val="0009093A"/>
    <w:rsid w:val="000A1BA6"/>
    <w:rsid w:val="000B59F2"/>
    <w:rsid w:val="000B6ABC"/>
    <w:rsid w:val="000D55EB"/>
    <w:rsid w:val="000D7A7C"/>
    <w:rsid w:val="000E0F5F"/>
    <w:rsid w:val="000E53CD"/>
    <w:rsid w:val="000F679E"/>
    <w:rsid w:val="001151C2"/>
    <w:rsid w:val="001179E0"/>
    <w:rsid w:val="00126E72"/>
    <w:rsid w:val="001274FB"/>
    <w:rsid w:val="00143C15"/>
    <w:rsid w:val="00146A73"/>
    <w:rsid w:val="00160F8A"/>
    <w:rsid w:val="001630EB"/>
    <w:rsid w:val="00176A88"/>
    <w:rsid w:val="00177ECA"/>
    <w:rsid w:val="00182411"/>
    <w:rsid w:val="001A5478"/>
    <w:rsid w:val="001A740A"/>
    <w:rsid w:val="001B4B4F"/>
    <w:rsid w:val="001B5A92"/>
    <w:rsid w:val="001E795D"/>
    <w:rsid w:val="00201B24"/>
    <w:rsid w:val="00202D84"/>
    <w:rsid w:val="00240662"/>
    <w:rsid w:val="002434AC"/>
    <w:rsid w:val="00245EFD"/>
    <w:rsid w:val="00260737"/>
    <w:rsid w:val="00266287"/>
    <w:rsid w:val="002666F2"/>
    <w:rsid w:val="0027215A"/>
    <w:rsid w:val="00281CC1"/>
    <w:rsid w:val="0028219C"/>
    <w:rsid w:val="002831B0"/>
    <w:rsid w:val="002A4F5B"/>
    <w:rsid w:val="002C37A5"/>
    <w:rsid w:val="002D44A5"/>
    <w:rsid w:val="002D53E9"/>
    <w:rsid w:val="002D789A"/>
    <w:rsid w:val="002E190A"/>
    <w:rsid w:val="002F1B9B"/>
    <w:rsid w:val="002F7FFE"/>
    <w:rsid w:val="003165BA"/>
    <w:rsid w:val="003240FD"/>
    <w:rsid w:val="00330B62"/>
    <w:rsid w:val="003313CB"/>
    <w:rsid w:val="00347B5D"/>
    <w:rsid w:val="00350765"/>
    <w:rsid w:val="0036136E"/>
    <w:rsid w:val="00380D8E"/>
    <w:rsid w:val="00386F99"/>
    <w:rsid w:val="003910F0"/>
    <w:rsid w:val="003B4D76"/>
    <w:rsid w:val="003B4EE3"/>
    <w:rsid w:val="003B544D"/>
    <w:rsid w:val="003B702D"/>
    <w:rsid w:val="003C54B7"/>
    <w:rsid w:val="003D0864"/>
    <w:rsid w:val="003D3BDB"/>
    <w:rsid w:val="003D5437"/>
    <w:rsid w:val="003E618B"/>
    <w:rsid w:val="003E6B2C"/>
    <w:rsid w:val="003F6B70"/>
    <w:rsid w:val="004014E0"/>
    <w:rsid w:val="0041742D"/>
    <w:rsid w:val="004276B4"/>
    <w:rsid w:val="004346F1"/>
    <w:rsid w:val="00434E06"/>
    <w:rsid w:val="004358CF"/>
    <w:rsid w:val="00437907"/>
    <w:rsid w:val="00480411"/>
    <w:rsid w:val="004908A0"/>
    <w:rsid w:val="00497B1D"/>
    <w:rsid w:val="004B4BC6"/>
    <w:rsid w:val="004B6988"/>
    <w:rsid w:val="004C01AF"/>
    <w:rsid w:val="004D1449"/>
    <w:rsid w:val="004D3587"/>
    <w:rsid w:val="004E0822"/>
    <w:rsid w:val="004F35C6"/>
    <w:rsid w:val="0050222B"/>
    <w:rsid w:val="00532FF0"/>
    <w:rsid w:val="00534822"/>
    <w:rsid w:val="005441A7"/>
    <w:rsid w:val="00545648"/>
    <w:rsid w:val="005475A4"/>
    <w:rsid w:val="00580516"/>
    <w:rsid w:val="005A7474"/>
    <w:rsid w:val="005C7878"/>
    <w:rsid w:val="005D5C62"/>
    <w:rsid w:val="005D6350"/>
    <w:rsid w:val="005E5AA1"/>
    <w:rsid w:val="005F09D1"/>
    <w:rsid w:val="005F12FC"/>
    <w:rsid w:val="006127DF"/>
    <w:rsid w:val="00614551"/>
    <w:rsid w:val="00633622"/>
    <w:rsid w:val="00640087"/>
    <w:rsid w:val="00643BC1"/>
    <w:rsid w:val="00643BF9"/>
    <w:rsid w:val="00644359"/>
    <w:rsid w:val="0065755D"/>
    <w:rsid w:val="00675ECD"/>
    <w:rsid w:val="00680C25"/>
    <w:rsid w:val="00685593"/>
    <w:rsid w:val="00690426"/>
    <w:rsid w:val="006E480E"/>
    <w:rsid w:val="006E4C69"/>
    <w:rsid w:val="006F185F"/>
    <w:rsid w:val="006F581A"/>
    <w:rsid w:val="00703840"/>
    <w:rsid w:val="0070553F"/>
    <w:rsid w:val="00727993"/>
    <w:rsid w:val="00761892"/>
    <w:rsid w:val="0076528A"/>
    <w:rsid w:val="00790BA3"/>
    <w:rsid w:val="00797651"/>
    <w:rsid w:val="007A1D30"/>
    <w:rsid w:val="007A70CC"/>
    <w:rsid w:val="007B07B7"/>
    <w:rsid w:val="007C5DAD"/>
    <w:rsid w:val="0080152B"/>
    <w:rsid w:val="0080523F"/>
    <w:rsid w:val="00812A7F"/>
    <w:rsid w:val="00817F43"/>
    <w:rsid w:val="00825697"/>
    <w:rsid w:val="00832A8C"/>
    <w:rsid w:val="008411A8"/>
    <w:rsid w:val="00843CA7"/>
    <w:rsid w:val="00853AD9"/>
    <w:rsid w:val="00853BDB"/>
    <w:rsid w:val="008564FB"/>
    <w:rsid w:val="00865D23"/>
    <w:rsid w:val="00873D41"/>
    <w:rsid w:val="00880F6D"/>
    <w:rsid w:val="008854F1"/>
    <w:rsid w:val="00894144"/>
    <w:rsid w:val="00896D0D"/>
    <w:rsid w:val="008B2510"/>
    <w:rsid w:val="008B2E0C"/>
    <w:rsid w:val="008B3D57"/>
    <w:rsid w:val="008B5716"/>
    <w:rsid w:val="008B61A3"/>
    <w:rsid w:val="008D3FCE"/>
    <w:rsid w:val="008D7463"/>
    <w:rsid w:val="008F7BE9"/>
    <w:rsid w:val="00906523"/>
    <w:rsid w:val="00917EA2"/>
    <w:rsid w:val="009261F1"/>
    <w:rsid w:val="00932D39"/>
    <w:rsid w:val="00951398"/>
    <w:rsid w:val="00961F0B"/>
    <w:rsid w:val="00977A66"/>
    <w:rsid w:val="009832B9"/>
    <w:rsid w:val="00987B5D"/>
    <w:rsid w:val="00994015"/>
    <w:rsid w:val="009A22F5"/>
    <w:rsid w:val="009A3658"/>
    <w:rsid w:val="009B324E"/>
    <w:rsid w:val="009C3044"/>
    <w:rsid w:val="009C7C10"/>
    <w:rsid w:val="009C7DA4"/>
    <w:rsid w:val="009E4553"/>
    <w:rsid w:val="009E4D48"/>
    <w:rsid w:val="009F4355"/>
    <w:rsid w:val="00A03133"/>
    <w:rsid w:val="00A0427E"/>
    <w:rsid w:val="00A11027"/>
    <w:rsid w:val="00A15C37"/>
    <w:rsid w:val="00A321CA"/>
    <w:rsid w:val="00A3231E"/>
    <w:rsid w:val="00A3259A"/>
    <w:rsid w:val="00A35AA4"/>
    <w:rsid w:val="00A5326F"/>
    <w:rsid w:val="00A55AE6"/>
    <w:rsid w:val="00A65553"/>
    <w:rsid w:val="00A7077C"/>
    <w:rsid w:val="00A72740"/>
    <w:rsid w:val="00A81A7B"/>
    <w:rsid w:val="00A94992"/>
    <w:rsid w:val="00A94DF8"/>
    <w:rsid w:val="00A96AB2"/>
    <w:rsid w:val="00AB442A"/>
    <w:rsid w:val="00AB468E"/>
    <w:rsid w:val="00AB5C2D"/>
    <w:rsid w:val="00AD1463"/>
    <w:rsid w:val="00AE6724"/>
    <w:rsid w:val="00B076F8"/>
    <w:rsid w:val="00B247B7"/>
    <w:rsid w:val="00B427E4"/>
    <w:rsid w:val="00B43631"/>
    <w:rsid w:val="00B50656"/>
    <w:rsid w:val="00B546E4"/>
    <w:rsid w:val="00B54ADE"/>
    <w:rsid w:val="00B56AEF"/>
    <w:rsid w:val="00B75268"/>
    <w:rsid w:val="00B92179"/>
    <w:rsid w:val="00B933DB"/>
    <w:rsid w:val="00BC1D28"/>
    <w:rsid w:val="00BC6AAB"/>
    <w:rsid w:val="00BD426F"/>
    <w:rsid w:val="00BD42FF"/>
    <w:rsid w:val="00C31B9C"/>
    <w:rsid w:val="00C50E83"/>
    <w:rsid w:val="00C55B78"/>
    <w:rsid w:val="00C632C2"/>
    <w:rsid w:val="00C64B16"/>
    <w:rsid w:val="00C66657"/>
    <w:rsid w:val="00C8274F"/>
    <w:rsid w:val="00C82B3A"/>
    <w:rsid w:val="00C83872"/>
    <w:rsid w:val="00C96321"/>
    <w:rsid w:val="00C97588"/>
    <w:rsid w:val="00CB4707"/>
    <w:rsid w:val="00CF1458"/>
    <w:rsid w:val="00CF4CFA"/>
    <w:rsid w:val="00CF579F"/>
    <w:rsid w:val="00CF71FD"/>
    <w:rsid w:val="00D06527"/>
    <w:rsid w:val="00D1053D"/>
    <w:rsid w:val="00D179F7"/>
    <w:rsid w:val="00D23AAF"/>
    <w:rsid w:val="00D25A6B"/>
    <w:rsid w:val="00D40D75"/>
    <w:rsid w:val="00D5794E"/>
    <w:rsid w:val="00D65A51"/>
    <w:rsid w:val="00D979E9"/>
    <w:rsid w:val="00DB4461"/>
    <w:rsid w:val="00DB52FA"/>
    <w:rsid w:val="00DC6B36"/>
    <w:rsid w:val="00DC721B"/>
    <w:rsid w:val="00DD07EF"/>
    <w:rsid w:val="00DD28A3"/>
    <w:rsid w:val="00DD78D8"/>
    <w:rsid w:val="00DE3CB9"/>
    <w:rsid w:val="00DF1B42"/>
    <w:rsid w:val="00E106FF"/>
    <w:rsid w:val="00E15220"/>
    <w:rsid w:val="00E264FF"/>
    <w:rsid w:val="00E26A8B"/>
    <w:rsid w:val="00E32B8B"/>
    <w:rsid w:val="00E41913"/>
    <w:rsid w:val="00E445C0"/>
    <w:rsid w:val="00E5121D"/>
    <w:rsid w:val="00E57D5C"/>
    <w:rsid w:val="00E7061B"/>
    <w:rsid w:val="00E7084C"/>
    <w:rsid w:val="00E821B2"/>
    <w:rsid w:val="00EA101D"/>
    <w:rsid w:val="00EA2571"/>
    <w:rsid w:val="00EB1DF9"/>
    <w:rsid w:val="00EC6065"/>
    <w:rsid w:val="00EC6BBF"/>
    <w:rsid w:val="00EC778C"/>
    <w:rsid w:val="00EF20FD"/>
    <w:rsid w:val="00EF47DF"/>
    <w:rsid w:val="00F05391"/>
    <w:rsid w:val="00F1095C"/>
    <w:rsid w:val="00F27CBA"/>
    <w:rsid w:val="00F6348F"/>
    <w:rsid w:val="00F64E22"/>
    <w:rsid w:val="00F67C19"/>
    <w:rsid w:val="00F73BE2"/>
    <w:rsid w:val="00F77470"/>
    <w:rsid w:val="00F91F57"/>
    <w:rsid w:val="00F97534"/>
    <w:rsid w:val="00FA47E9"/>
    <w:rsid w:val="00FB26DF"/>
    <w:rsid w:val="00FB2CAB"/>
    <w:rsid w:val="00FB7E38"/>
    <w:rsid w:val="00FC36F5"/>
    <w:rsid w:val="00FC5A2D"/>
    <w:rsid w:val="00FD06DF"/>
    <w:rsid w:val="00FD3C15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2AA7"/>
    <w:rPr>
      <w:rFonts w:cs="Times New Roman"/>
    </w:rPr>
  </w:style>
  <w:style w:type="paragraph" w:styleId="a5">
    <w:name w:val="footer"/>
    <w:basedOn w:val="a"/>
    <w:link w:val="a6"/>
    <w:uiPriority w:val="99"/>
    <w:rsid w:val="0003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2AA7"/>
    <w:rPr>
      <w:rFonts w:cs="Times New Roman"/>
    </w:rPr>
  </w:style>
  <w:style w:type="paragraph" w:styleId="a7">
    <w:name w:val="List Paragraph"/>
    <w:basedOn w:val="a"/>
    <w:uiPriority w:val="99"/>
    <w:qFormat/>
    <w:rsid w:val="00DD07E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C9758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C9758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97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3165B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165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39C6-0172-431E-A8BE-F5378C9E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 и градостроительства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Н.А.</dc:creator>
  <cp:lastModifiedBy>luba</cp:lastModifiedBy>
  <cp:revision>4</cp:revision>
  <cp:lastPrinted>2017-08-15T02:48:00Z</cp:lastPrinted>
  <dcterms:created xsi:type="dcterms:W3CDTF">2017-08-14T11:31:00Z</dcterms:created>
  <dcterms:modified xsi:type="dcterms:W3CDTF">2017-08-15T02:52:00Z</dcterms:modified>
</cp:coreProperties>
</file>