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4D" w:rsidRPr="00A7274D" w:rsidRDefault="00627097" w:rsidP="00A727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7274D" w:rsidRPr="00A7274D" w:rsidRDefault="00A7274D" w:rsidP="00A727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7274D">
        <w:rPr>
          <w:rFonts w:ascii="Times New Roman" w:hAnsi="Times New Roman" w:cs="Times New Roman"/>
          <w:sz w:val="20"/>
          <w:szCs w:val="20"/>
        </w:rPr>
        <w:t xml:space="preserve"> </w:t>
      </w:r>
      <w:r w:rsidR="00627097">
        <w:rPr>
          <w:rFonts w:ascii="Times New Roman" w:hAnsi="Times New Roman" w:cs="Times New Roman"/>
          <w:sz w:val="20"/>
          <w:szCs w:val="20"/>
        </w:rPr>
        <w:t>к п</w:t>
      </w:r>
      <w:r w:rsidRPr="00A7274D">
        <w:rPr>
          <w:rFonts w:ascii="Times New Roman" w:hAnsi="Times New Roman" w:cs="Times New Roman"/>
          <w:sz w:val="20"/>
          <w:szCs w:val="20"/>
        </w:rPr>
        <w:t>остановлени</w:t>
      </w:r>
      <w:r w:rsidR="00627097">
        <w:rPr>
          <w:rFonts w:ascii="Times New Roman" w:hAnsi="Times New Roman" w:cs="Times New Roman"/>
          <w:sz w:val="20"/>
          <w:szCs w:val="20"/>
        </w:rPr>
        <w:t>ю</w:t>
      </w:r>
      <w:r w:rsidRPr="00A7274D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A7274D" w:rsidRPr="00A7274D" w:rsidRDefault="00A7274D" w:rsidP="00A727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7274D">
        <w:rPr>
          <w:rFonts w:ascii="Times New Roman" w:hAnsi="Times New Roman" w:cs="Times New Roman"/>
          <w:sz w:val="20"/>
          <w:szCs w:val="20"/>
        </w:rPr>
        <w:t>Асбестовского городского округа</w:t>
      </w:r>
    </w:p>
    <w:p w:rsidR="00A7274D" w:rsidRPr="00A7274D" w:rsidRDefault="00A7274D" w:rsidP="00A727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7274D">
        <w:rPr>
          <w:rFonts w:ascii="Times New Roman" w:hAnsi="Times New Roman" w:cs="Times New Roman"/>
          <w:sz w:val="20"/>
          <w:szCs w:val="20"/>
        </w:rPr>
        <w:t xml:space="preserve">от </w:t>
      </w:r>
      <w:r w:rsidR="00392EB9">
        <w:rPr>
          <w:rFonts w:ascii="Times New Roman" w:hAnsi="Times New Roman" w:cs="Times New Roman"/>
          <w:sz w:val="20"/>
          <w:szCs w:val="20"/>
        </w:rPr>
        <w:t>00</w:t>
      </w:r>
      <w:r w:rsidR="007C188F">
        <w:rPr>
          <w:rFonts w:ascii="Times New Roman" w:hAnsi="Times New Roman" w:cs="Times New Roman"/>
          <w:sz w:val="20"/>
          <w:szCs w:val="20"/>
        </w:rPr>
        <w:t>.0</w:t>
      </w:r>
      <w:r w:rsidR="00392EB9">
        <w:rPr>
          <w:rFonts w:ascii="Times New Roman" w:hAnsi="Times New Roman" w:cs="Times New Roman"/>
          <w:sz w:val="20"/>
          <w:szCs w:val="20"/>
        </w:rPr>
        <w:t>0</w:t>
      </w:r>
      <w:r w:rsidR="007C188F">
        <w:rPr>
          <w:rFonts w:ascii="Times New Roman" w:hAnsi="Times New Roman" w:cs="Times New Roman"/>
          <w:sz w:val="20"/>
          <w:szCs w:val="20"/>
        </w:rPr>
        <w:t>.</w:t>
      </w:r>
      <w:r w:rsidRPr="00A7274D">
        <w:rPr>
          <w:rFonts w:ascii="Times New Roman" w:hAnsi="Times New Roman" w:cs="Times New Roman"/>
          <w:sz w:val="20"/>
          <w:szCs w:val="20"/>
        </w:rPr>
        <w:t xml:space="preserve"> 202</w:t>
      </w:r>
      <w:r w:rsidR="00392EB9">
        <w:rPr>
          <w:rFonts w:ascii="Times New Roman" w:hAnsi="Times New Roman" w:cs="Times New Roman"/>
          <w:sz w:val="20"/>
          <w:szCs w:val="20"/>
        </w:rPr>
        <w:t>2</w:t>
      </w:r>
      <w:r w:rsidRPr="00A727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563958">
        <w:rPr>
          <w:rFonts w:ascii="Times New Roman" w:hAnsi="Times New Roman" w:cs="Times New Roman"/>
          <w:sz w:val="20"/>
          <w:szCs w:val="20"/>
        </w:rPr>
        <w:t xml:space="preserve"> </w:t>
      </w:r>
      <w:r w:rsidR="00392EB9">
        <w:rPr>
          <w:rFonts w:ascii="Times New Roman" w:hAnsi="Times New Roman" w:cs="Times New Roman"/>
          <w:sz w:val="20"/>
          <w:szCs w:val="20"/>
        </w:rPr>
        <w:t>00</w:t>
      </w:r>
      <w:r w:rsidRPr="00A7274D">
        <w:rPr>
          <w:rFonts w:ascii="Times New Roman" w:hAnsi="Times New Roman" w:cs="Times New Roman"/>
          <w:sz w:val="20"/>
          <w:szCs w:val="20"/>
        </w:rPr>
        <w:t>-ПА</w:t>
      </w:r>
    </w:p>
    <w:p w:rsidR="00C1653B" w:rsidRDefault="00C1653B" w:rsidP="0086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ПОРЯДКЕ ПРЕДОСТАВЛЕНИЯ СУБСИДИЙ ОРГАНИЗАЦИЯМ, УПРАВЛЯЮЩИМ</w:t>
      </w:r>
      <w:r w:rsidR="00C165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МНОГОКВАРТИРНЫМИ ДОМАМИ, РАСПОЛОЖЕННЫМИ НА ТЕРРИТОРИИ</w:t>
      </w:r>
      <w:r w:rsidR="00C165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АСБЕСТОВСКОГО ГОРОДСКОГО ОКРУГА</w:t>
      </w: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ПРОВЕДЕНИЕ МЕРОПРИЯТИЙ ПО ЗАМЕНЕ ЛИФТОВ</w:t>
      </w:r>
      <w:r w:rsidR="00C1653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МНОГОКВАРТИРНЫХ ДОМАХ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Настоящее Положение определяет требования к получателям субсидий, цели, условия, порядок предоставления и возврата субсидий, а также порядок осуществления </w:t>
      </w: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предоставлением и использованием субсидий и регулирует вопросы предоставления субсидий организациям, управляющим многоквартирными домами, расположенными на территории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проведение мероприятий по замене лифтов в многоквартирных домах (далее - субсидии).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Бюджетным </w:t>
      </w:r>
      <w:hyperlink r:id="rId8">
        <w:r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9">
        <w:r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18.09.2020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1492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отдельных положений некоторых актов Пра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вительства Российской Федерации»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0">
        <w:r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Свердловской области от 31.10.2017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805-ПП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государственной программы Свердловской области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 Свердловс</w:t>
      </w:r>
      <w:r w:rsidR="009047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 области на 2018 - 2027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</w:t>
      </w:r>
      <w:r w:rsidR="009047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904707" w:rsidRPr="009047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Асбестовского городского округа от 13.11.2020 № 621-ПА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</w:t>
      </w:r>
      <w:proofErr w:type="gramEnd"/>
      <w:r w:rsidR="00904707" w:rsidRPr="009047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индивидуальным предпринимателям, а также физическим лицам - производителям товаров, работ, услуг из бюджета Асбестовского городского округа»</w:t>
      </w:r>
      <w:r w:rsidR="0090470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Для целей настоящего Положения используются следующие понятия: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- юридическое лицо, осуществляющее управление многоквартирными домами, управляющая организация, товарищество собственников жилья, жилищный кооператив или иной специализированный кооператив, индивидуальный предприниматель;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 лицо - лицо, представляющее интересы организации и действующее на основании доверенности, удостоверенной нотариально или выданной за подписью руководителя организации или иного уполномоченного лица;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замена лифтов - комплекс работ по замене в многоквартирных домах лифтов, отработавших назначенный срок службы, и лифтов, непригодных для эксплуатации, в целях обеспечения безопасности граждан при эксплуатации пассажирских лифтов и повышения энергетической эффективности их использования;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собственников - средства собственников помещений в многоквартирном доме, направляемые на участие в долевом финансировании проведения мероприятий по замене лифтов в данном доме в соответствии с решением общего собрания собственников помещений.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16"/>
      <w:bookmarkEnd w:id="1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Субсидии организациям предоставляются в целях возмещения части затрат на выполнение мероприятий по замене лифтов, отработавших назначенный срок службы, и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лифтов, непригодных эксплуатации, на безвозмездной и безвозвратной основе для обеспечения условий управления многоквартирными домами в соответствии со </w:t>
      </w:r>
      <w:r w:rsid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hyperlink r:id="rId11">
        <w:r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статьями 165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2">
        <w:r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191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субсидий на выплату аванса для проведения мероприятий по замене лифтов не предусмотрено.</w:t>
      </w:r>
    </w:p>
    <w:p w:rsidR="00865BE4" w:rsidRPr="00E44F60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F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Предоставление субсидий осуществляется за счет средств, утвержденных на эти цели в бюджете </w:t>
      </w:r>
      <w:r w:rsidR="00C1653B" w:rsidRPr="00E44F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E44F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текущий финансовый год, в пределах утвержденных лимитов бюджетных обязательств.</w:t>
      </w:r>
    </w:p>
    <w:p w:rsid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="00E44F60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год,</w:t>
      </w:r>
      <w:r w:rsidR="00E44F60" w:rsidRPr="00E44F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</w:t>
      </w:r>
      <w:r w:rsidR="00E44F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Асбестовского городского округа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32C01" w:rsidRPr="00865BE4" w:rsidRDefault="00832C01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Pr="00832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Организатором отбора является отдел жилищно-коммунального хозяйства, транспорта, связи и жилищной политики администрации Асбестовского городского округа (далее - отдел ЖКХ).</w:t>
      </w:r>
    </w:p>
    <w:p w:rsidR="00865BE4" w:rsidRPr="00865BE4" w:rsidRDefault="00832C01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20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Право на получение субсидий имеют организации, относящиеся к следующим категориям: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организация, получившая право на управление многоквартирными домами, расположенными на территории </w:t>
      </w:r>
      <w:r w:rsidR="00C165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основании решений общих собраний собственников помещений в многоквартирных домах или по результатам открытых конкурсов по отбору организаций для управления многоквартирными домами;</w:t>
      </w:r>
    </w:p>
    <w:p w:rsidR="00865BE4" w:rsidRPr="00865BE4" w:rsidRDefault="00865BE4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организация, имеющая лицензию на осуществление предпринимательской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кооперативом).</w:t>
      </w:r>
    </w:p>
    <w:p w:rsidR="00865BE4" w:rsidRPr="00865BE4" w:rsidRDefault="00832C01" w:rsidP="00C16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Субсидии предоставляются организациям по результатам отбора, производимого в форме запроса предложений, на основании заявлений, представляемых организациями в </w:t>
      </w:r>
      <w:r w:rsid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ЖКХ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BE4" w:rsidRPr="00865BE4" w:rsidRDefault="00832C01" w:rsidP="00651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4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4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Объявление</w:t>
      </w:r>
      <w:r w:rsidR="00651798" w:rsidRP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начале проведения отбора способом запроса предложений организаци</w:t>
      </w:r>
      <w:r w:rsid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651798" w:rsidRP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управляющи</w:t>
      </w:r>
      <w:r w:rsid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651798" w:rsidRP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многоквартирными домами</w:t>
      </w:r>
      <w:r w:rsid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расположенными на территории А</w:t>
      </w:r>
      <w:r w:rsidR="00651798" w:rsidRP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сбестовского городского округа,</w:t>
      </w:r>
      <w:r w:rsid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51798" w:rsidRP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проведение мероприятий по замене лифтов в многоквартирных домах</w:t>
      </w:r>
      <w:r w:rsid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51798" w:rsidRP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постановление  администрации Асбестовского городского округа размеща</w:t>
      </w:r>
      <w:r w:rsid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651798" w:rsidRPr="00651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на Едином портале  в информационно-телекоммуникационной сети «Интернет» и на официальном сайте Асбестовского городского округа (www.asbestadm.ru).</w:t>
      </w:r>
      <w:proofErr w:type="gramEnd"/>
    </w:p>
    <w:p w:rsidR="00865BE4" w:rsidRPr="00865BE4" w:rsidRDefault="00C1653B" w:rsidP="00C1653B">
      <w:pPr>
        <w:widowControl w:val="0"/>
        <w:tabs>
          <w:tab w:val="left" w:pos="826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2. ПОРЯДОК ПРОВЕДЕНИЯ ОТБОРА ПОЛУЧАТЕЛЕЙ СУБСИДИЙ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30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представления организациями заявлений о предоставлении субсидии </w:t>
      </w:r>
      <w:r w:rsidR="003679CF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заявления) в очередном финансовом году устанавливается объявлением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проведении отбора получателей субсидий, которое размещается </w:t>
      </w:r>
      <w:r w:rsidR="00A24D62" w:rsidRPr="00A24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отделом ЖКХ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едином портале, а также на своей странице на официальном сайте </w:t>
      </w:r>
      <w:r w:rsidR="00367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</w:t>
      </w:r>
      <w:r w:rsidR="00E27A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367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товского городского округа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не </w:t>
      </w:r>
      <w:proofErr w:type="gramStart"/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30 календарных дней до срока окончания приема заявлений.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Объявление должно содержать следующую информацию: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сроки проведения отбора (дата и время окончания приема заявлений);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наименование, местонахождение, почтовый адрес, адрес электронной почты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цель предоставления субсидий в соответствии с </w:t>
      </w:r>
      <w:hyperlink w:anchor="P16">
        <w:r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4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требования к участникам отбора в соответствии с </w:t>
      </w:r>
      <w:hyperlink w:anchor="P20">
        <w:r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</w:t>
        </w:r>
        <w:r w:rsidR="00A24D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ом</w:t>
        </w:r>
        <w:r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hyperlink w:anchor="P40">
        <w:r w:rsidR="00A24D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13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 и перечень документов, представляемых для подтверждения их соответствия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указанным требованиям;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порядок подачи заявлений и требования, предъявляемые к форме и содержанию заявления в соответствии с </w:t>
      </w:r>
      <w:hyperlink w:anchor="P47">
        <w:r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</w:t>
        </w:r>
      </w:hyperlink>
      <w:r w:rsidR="00A24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порядок отзыва заявлений участниками отбора, порядок возврата заявлений участникам отбора, определяющего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основания для возврата заявлений участникам отбора, порядок внесения участниками отбора изменений в заявления;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порядок рассмотрения и оценки документов в соответствии с </w:t>
      </w:r>
      <w:hyperlink w:anchor="P47">
        <w:r w:rsidRPr="00BF340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пунктами 13</w:t>
        </w:r>
      </w:hyperlink>
      <w:r w:rsidRPr="00BF3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91">
        <w:r w:rsidRPr="00BF340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23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40"/>
      <w:bookmarkEnd w:id="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Организации, претендующие на получение субсидий, должны соответствовать следующим требованиям по состоянию на дату подачи заявления: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у организации отсутствует просроченная задолженность по возврату в бюджет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субсидий, предоставленных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организация - юридическое лицо не находится в процессе реорганизации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организация не получает средства из федерального бюджета, бюджета Свердловской области, бюджета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цели, предусмотренные настоящим Положением, на основании иных нормативных правовых актов или муниципальных правовых актов.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47"/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Организации, претендующие на получение субсидий в очередном финансовом году, в срок, определенный объявлением о проведении отбора получателей субсидий, представляют в </w:t>
      </w:r>
      <w:r w:rsidR="00A24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ЖКХ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заявления, составленные в свободной форме, к которым прикладываются следующие документы: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заверенная руководителем организации (уполномоченным лицом) копия протокола общего собрания собственников помещений в многоквартирном доме, в котором содержится решение о выборе способа управления многоквартирным домом (в случае выбора способа управления управляющей организацией - о выборе данной организации), или протокола заседания конкурсной комиссии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которой содержится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решение об отборе управляющей организации для управления многоквартирным домом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случае если право</w:t>
      </w:r>
      <w:proofErr w:type="gramEnd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управление многоквартирными домами предоставлено организации по результатам проведения открытых конкурсов);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заверенная руководителем организации (уполномоченным лицом) копия лицензии на право осуществления деятельности по управлению многоквартирными домами </w:t>
      </w:r>
      <w:r w:rsidR="00BF3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заверенная руководителем организации (уполномоченным лицом) копия протокола общего собрания собственников помещений в многоквартирном доме, содержащего решение о согласии собственников помещений в соответствующем многоквартирном доме на выполнение работ по замене лифтов в данном доме за счет субсидии и средств собственников, в котором содержатся:</w:t>
      </w:r>
    </w:p>
    <w:p w:rsidR="00865BE4" w:rsidRPr="00865BE4" w:rsidRDefault="003428FD" w:rsidP="003679CF">
      <w:pPr>
        <w:widowControl w:val="0"/>
        <w:tabs>
          <w:tab w:val="left" w:pos="72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местах установки лифтов;</w:t>
      </w:r>
      <w:r w:rsidR="003679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65BE4" w:rsidRPr="00865BE4" w:rsidRDefault="003428FD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предварительной стоимости работ согласно проектно-сметной документации;</w:t>
      </w:r>
    </w:p>
    <w:p w:rsidR="00865BE4" w:rsidRPr="00865BE4" w:rsidRDefault="003428FD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на долевое финансирование работ по замене лифтов с указанием размера доли, составляющей не менее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процентов от стоимости проведения работ, и сведения о сумме средств собственников помещений в многоквартирном доме, направляемых на участие в долевом финансировании;</w:t>
      </w:r>
    </w:p>
    <w:p w:rsidR="00865BE4" w:rsidRPr="00865BE4" w:rsidRDefault="003428FD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F3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65BE4" w:rsidRPr="00BF3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на пропорциональное изменение суммы средств собственников помещений в многоквартирном доме в случае изменения стоимости работ по результатам негосударственной экспертизы проектно-сметной документации и (или) негосударственной экспертизы инженерных изысканий, проведенной юридическими лицами, соответствующими требованиям, установленным </w:t>
      </w:r>
      <w:hyperlink r:id="rId13">
        <w:r w:rsidR="00865BE4" w:rsidRPr="0092767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50</w:t>
        </w:r>
      </w:hyperlink>
      <w:r w:rsidR="00865BE4" w:rsidRPr="00BF3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проведения конкурсных процедур по отбору подрядных организаций, выявления в ходе работ по замене лифтов необходимости проведения дополнительных работ;</w:t>
      </w:r>
      <w:proofErr w:type="gramEnd"/>
    </w:p>
    <w:p w:rsidR="00865BE4" w:rsidRPr="00865BE4" w:rsidRDefault="003428FD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представителе собственников помещений в многоквартирном доме, выбранном для участия в приемке выполненных работ;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заверенные руководителем организации (уполномоченным лицом) копии заключений специализированной организации о результатах оценки соответствия лифтов, срок эксплуатации которых достиг или превысил назначенный срок службы, требованиям безопасности (с указанием года ввода лифтов в эксплуатацию);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заверенные руководителем организации (уполномоченным лицом) копии паспортов лифтов;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рабочий проект и сметная документация на выполнение работ по замене лифтов, составленная в соответствии с требованиями нормативно-технических документов;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копия технического паспорта многоквартирного дома;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заверенные руководителем организации (уполномоченным лицом) копии учредительных документов организации;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справка организации, осуществляющей начисления по оплате жилищно-коммунальных услуг, содержащая сведения об уровне сбора платежей за жилищно-коммунальные услуги по многоквартирному дому в среднем за девять месяцев, предшествующих месяцу подачи заявления;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подписанная руководителем организации (уполномоченным лицом) справка о годе проведения последнего капитального ремонта лифтового оборудования в многоквартирном доме;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11) справка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Федерации о налогах и сборах, по состоянию на дату предоставления документов;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12) подписанная руководителем организации (уполномоченным лицом) справка о том, что у организации отсутствует просроченная задолженность по возврату в бюджет </w:t>
      </w:r>
      <w:r w:rsidR="00832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субсидий, </w:t>
      </w: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BF3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подписанная руководителем организации (уполномоченным лицом) справка о том, что организация не находится в процессе реорганизации или ликвидации и что в отношении организации не возбуждено производство по делу о несостоятельности (банкротстве), для индивидуальных предпринимателей - справка о том, что индивидуальный предприниматель не прекратил деятельность в качестве индивидуального предпринимателя;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подписанная руководителем организации (уполномоченным лицом) справка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подписанная руководителем организации (уполномоченным лицом) справка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 подписанная руководителем организации (уполномоченным лицом) справка о том, что организация не получает средства на цели, предусмотренные настоящим Положением, из федерального бюджета, бюджета Свердловской области, бюджета города в соответствии с иными нормативными правовыми актами;</w:t>
      </w:r>
    </w:p>
    <w:p w:rsidR="00865BE4" w:rsidRPr="00E44F60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F60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 подписанная руководителем организации (уполномоченным лицом) справка об ознакомлении с условием предоставления субсидии после оплаты организацией стоимости выполненных работ в полном объеме и о наличии денежных сре</w:t>
      </w:r>
      <w:proofErr w:type="gramStart"/>
      <w:r w:rsidRPr="00E44F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дл</w:t>
      </w:r>
      <w:proofErr w:type="gramEnd"/>
      <w:r w:rsidRPr="00E44F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оплаты выполненных работ по замене лифтов в полном объеме;</w:t>
      </w:r>
    </w:p>
    <w:p w:rsidR="00865BE4" w:rsidRPr="00865BE4" w:rsidRDefault="00BF340F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подписанное руководителем организации (уполномоченным лицом) согласие на публикацию в информационно-телекоммуникационной сети Интернет информации об участнике отбора, о подаваемом участником отбора заявлении, иной информации об участнике отбора;</w:t>
      </w:r>
    </w:p>
    <w:p w:rsidR="00865BE4" w:rsidRPr="0092767B" w:rsidRDefault="00BF340F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доверенность, подтверждающая право уполномоченного лица представлять интересы организации (в случае подписания документов уполномоченным лицом), оформленная в соответствии с требованиями </w:t>
      </w:r>
      <w:hyperlink r:id="rId14">
        <w:r w:rsidR="00865BE4" w:rsidRPr="0092767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статей 185</w:t>
        </w:r>
      </w:hyperlink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5">
        <w:r w:rsidR="00865BE4" w:rsidRPr="0092767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185.1</w:t>
        </w:r>
      </w:hyperlink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Документы, указанные в настоящем пункте, находящиеся в распоряжении органов государственной власти, органов местного самоуправления, подведомственных органам государственной власти или органам местного самоуправления организациях, запрашиваются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межведомственного информационного взаимодействия. Указанные документы могут быть представлены организацией по собственной инициативе.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Прикладываемые к заявлению документы представляются в </w:t>
      </w:r>
      <w:r w:rsidR="001E03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ЖКХ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запечатанном двойном конверте (запечатанной коробке). В случае несоблюдения данного условия заявление и прикладываемые к нему документы к рассмотрению не принимаются.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Организация, претендующая на получение субсидии, обеспечивает доставку в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г.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Уральская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</w:t>
      </w:r>
      <w:r w:rsidR="003428FD">
        <w:rPr>
          <w:rFonts w:ascii="Times New Roman" w:eastAsiaTheme="minorEastAsia" w:hAnsi="Times New Roman" w:cs="Times New Roman"/>
          <w:sz w:val="24"/>
          <w:szCs w:val="24"/>
          <w:lang w:eastAsia="ru-RU"/>
        </w:rPr>
        <w:t>73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970C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ЖКХ, </w:t>
      </w:r>
      <w:r w:rsidR="00930F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кабинет № 15,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заявления и прилагаемых к нему документов почтовой связью, через курьера или представителя организации. Заявление и документы, поступившие позднее даты, определенной в соответствии с </w:t>
      </w:r>
      <w:hyperlink w:anchor="P30">
        <w:r w:rsidR="00A24D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11</w:t>
        </w:r>
      </w:hyperlink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к рассмотрению не принимаются и возвращаются заявителю в нераспечатанном виде.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Специалист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отдела ЖКХ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 заявление в книге регистрации заявлений немедленно после его приема. Зарегистрированному заявлению присваивается номер в порядке очередности его поступления.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Организация, претендующая на получение субсидии, имеет право в любое время, но не позднее даты, определенной в соответствии с </w:t>
      </w:r>
      <w:r w:rsidR="00A24D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hyperlink w:anchor="P30">
        <w:r w:rsidR="00A24D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11</w:t>
        </w:r>
      </w:hyperlink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отозвать поданное заявление для внесения изменений в прилагаемые документы. Уведомление об отзыве заявления подается организацией в </w:t>
      </w:r>
      <w:r w:rsidR="00A24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ЖКХ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письменном виде. Уведомление об отзыве заявления должно быть подписано руководителем (уполномоченным лицом) и скреплено печатью организации (при ее наличии). Заявление и прилагаемые к нему документы возвращаются организации в нераспечатанном виде. При повторной подаче заявления и прилагаемых к нему документов заявление повторно регистрируется в книге регистрации заявлений с присвоением ему нового порядкового номера.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от организаций документов для внесения изменений в приложенные к заявлению документы или для замены документов не допускается.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Отбор многоквартирных домов 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их включения в перечень многоквартирных домов, в которых планируется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проведение мероприятий по замене лифтов за счет субсидий и средств собственников (далее - перечень объектов), осуществляется на основании документов, представленных организациями. Состав комиссии по отбору многоквартирных домов для их включения в перечень объектов (далее - комиссия) утверждается </w:t>
      </w:r>
      <w:r w:rsidR="00970C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администрации Асбестовского городского округа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2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Отбор многоквартирных домов, 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которых планируется выполнить работы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замене лифтов за счет субсидий и средств собственников, производится на основании </w:t>
      </w:r>
      <w:hyperlink w:anchor="P165">
        <w:r w:rsidR="00865BE4"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критериев</w:t>
        </w:r>
      </w:hyperlink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отбора многоквартирных домов для включения 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перечень многоквартирных</w:t>
      </w:r>
      <w:r w:rsidR="00865BE4"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домов,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которых планируется проведение мероприятий по замене лифтов за счет субсидий и средств собственников (приложение к настоящему Положению).</w:t>
      </w:r>
    </w:p>
    <w:p w:rsidR="00865BE4" w:rsidRPr="0092767B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 результатам отбора формируются 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ранжированный список многоквартирных домов и перечень </w:t>
      </w:r>
      <w:r w:rsidR="00210ADB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многоквартирных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указанием организаций, получивших право на получение субсидий</w:t>
      </w:r>
      <w:r w:rsidR="00210ADB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210ADB" w:rsidRPr="0092767B">
        <w:t xml:space="preserve"> </w:t>
      </w:r>
      <w:r w:rsidR="00210ADB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очередном финансовом году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наличия в одном многоквартирном доме предлагаемых к замене лифтов с разным сроком эксплуатации и (или) количеством остановок в пути подсчет баллов производится по каждому подъезду в таком доме в отдельности и в ранжированный список включаются подъезды в таком доме с учетом набранных баллов.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Многоквартирные дома, которым при оценке заявлений было присвоено равное количество баллов, ранжируются в зависимости от даты подачи заявления </w:t>
      </w:r>
      <w:r w:rsidR="00832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(порядкового номера заявления).</w:t>
      </w:r>
    </w:p>
    <w:p w:rsidR="005D5E00" w:rsidRPr="0092767B" w:rsidRDefault="00832C01" w:rsidP="001D32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перечень включаются многоквартирные дома, внесенные в ранжированный список, начиная с первого номера в таком списке. </w:t>
      </w:r>
      <w:r w:rsidR="00C33247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многоквартирных домов, включаемых в перечень, определяется общей суммой плановых затрат на проведение работ по замене лифтов и лимитами бюджетных обязательств, предусмотренных на предоставление субсидий в </w:t>
      </w:r>
      <w:r w:rsidR="00405FDA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текущем</w:t>
      </w:r>
      <w:r w:rsidR="00C33247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финансовом году.</w:t>
      </w:r>
      <w:r w:rsidR="001D328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Перечень </w:t>
      </w:r>
      <w:r w:rsidR="00446C41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многоквартирных домов</w:t>
      </w:r>
      <w:r w:rsidR="001D328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указанием:</w:t>
      </w:r>
      <w:r w:rsidR="00E4318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28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наименований организаций, получивших право на получение субсидий, с указанием сумм субсидий</w:t>
      </w:r>
      <w:r w:rsidR="00E4318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отношении каждой организации, </w:t>
      </w:r>
      <w:r w:rsidR="001D328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 суб</w:t>
      </w:r>
      <w:r w:rsidR="00E4318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сидий в отношении каждого лифта, </w:t>
      </w:r>
      <w:r w:rsidR="001D328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 субсидий в отношени</w:t>
      </w:r>
      <w:r w:rsidR="00E4318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каждого многоквартирного дома,</w:t>
      </w:r>
      <w:r w:rsidR="00D6769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28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общей суммы предоставляемых субсидий</w:t>
      </w:r>
      <w:r w:rsidR="00405FDA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утверждается постановлением администрации Асбестовского городского округа</w:t>
      </w:r>
      <w:r w:rsidR="001D328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Решение по результатам проведения отбора многоквартирных домов и формирования перечня объектов принимается комиссией в срок, не превышающий одного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месяца </w:t>
      </w:r>
      <w:proofErr w:type="gramStart"/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приема заявлений, и оформляется протоколом заседания комиссии.</w:t>
      </w:r>
    </w:p>
    <w:p w:rsidR="00865BE4" w:rsidRPr="00865BE4" w:rsidRDefault="00865BE4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отбора в течение 10 рабочих дней со дня оформления протокола заседания комиссии доводятся </w:t>
      </w:r>
      <w:r w:rsidR="00A601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отделом ЖКХ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сведения всех организаций, подавших заявления в установленный срок, в письменной форме по почте или по электронной почте по адресу, указанному в заявлении, при условии указания заявителем такого способа уведомления.</w:t>
      </w:r>
    </w:p>
    <w:p w:rsidR="00832C01" w:rsidRDefault="00832C01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Комиссия отказывает в получении субсидии в следующих случаях:</w:t>
      </w:r>
    </w:p>
    <w:p w:rsidR="00865BE4" w:rsidRPr="00865BE4" w:rsidRDefault="00832C01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1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несоответствие категории организации категориям, указанным в </w:t>
      </w:r>
      <w:hyperlink w:anchor="P20">
        <w:r w:rsidR="00865BE4" w:rsidRPr="00865BE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="00A6012F" w:rsidRPr="00A6012F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несоответствие представленных организацией документов требованиям, определенным</w:t>
      </w:r>
      <w:r w:rsidR="00A601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пунктом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P47">
        <w:r w:rsidR="00A6012F" w:rsidRPr="00A6012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14</w:t>
        </w:r>
      </w:hyperlink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или непредставление (представление не в полном объеме) указанных документов;</w:t>
      </w:r>
    </w:p>
    <w:p w:rsidR="00865BE4" w:rsidRPr="00865BE4" w:rsidRDefault="00832C01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недостоверность предоставленной организацией информации.</w:t>
      </w:r>
    </w:p>
    <w:p w:rsidR="00865BE4" w:rsidRPr="0092767B" w:rsidRDefault="00A6012F" w:rsidP="003679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91"/>
      <w:bookmarkEnd w:id="6"/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Если многоквартирные дома по результатам отбора не были включены в перечень </w:t>
      </w:r>
      <w:r w:rsidR="00405FDA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многоквартирных домов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организации могут подать </w:t>
      </w:r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предоставление субсидий в последующие годы в установленном настоящим Положением порядке.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3. УСЛОВИЯ И ПОРЯДОК ПРЕДОСТАВЛЕНИЯ СУБСИДИЙ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BE4" w:rsidRPr="00865BE4" w:rsidRDefault="00A6012F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Условиями предоставления субсидий являются: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соответствие организаций требованиям, установленным в </w:t>
      </w:r>
      <w:r w:rsidR="00A601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пункте 1</w:t>
      </w:r>
      <w:hyperlink w:anchor="P40">
        <w:r w:rsidR="00A6012F" w:rsidRPr="00A6012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3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по состоянию на дату подачи заявления;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сумма средств собственников, направляемых на участие в долевом финансировании проведения мероприятий по замене лифтов в многоквартирном доме за счет субсидии и средств собственников, должна составлять не менее </w:t>
      </w:r>
      <w:r w:rsidR="00832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процентов от общей суммы затрат на проведение требуемых работ.</w:t>
      </w:r>
    </w:p>
    <w:p w:rsidR="00865BE4" w:rsidRPr="00865BE4" w:rsidRDefault="00A6012F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Обязательным условием предоставления субсидий, включаемым в соглашения о предоставлении субсидий, является согласие их получателей на осуществление </w:t>
      </w:r>
      <w:r w:rsidR="00832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Администрацией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65BE4" w:rsidRPr="0092767B" w:rsidRDefault="00A6012F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Размер субсидии определяется как разность между суммой фактически произведенных, документально подтвержденных и оплаченных затрат на замену лифтов в многоквартирном доме и суммой средств собственников в данном доме, направляемых на замену лифтов, составляющей не менее </w:t>
      </w:r>
      <w:r w:rsidR="00832C01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процентов от общей суммы затрат на проведение таких мероприятий.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определении размера субсидии не учитываются затраты на разработку проектно-сметной документации, в том числе на проведение обследований, необходимых для ее разработки, затраты на получение заключения экспертизы проектной документации и достоверности определения сметной стоимости, затраты на осуществление строительного контроля.</w:t>
      </w:r>
    </w:p>
    <w:p w:rsidR="00865BE4" w:rsidRPr="0092767B" w:rsidRDefault="00A6012F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лифтов, подлежащих замене 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очередном финансовом году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субсидий с привлечением средств федерального бюджета, бюджета Свердловской области и бюджета </w:t>
      </w:r>
      <w:r w:rsidR="001E03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Асбестовского городского округа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определяется по результатам отбора,</w:t>
      </w:r>
      <w:r w:rsidR="00865BE4" w:rsidRPr="008716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проводимого Министерством энергетики и жилищно-коммунального хозяйства Свердловской области в </w:t>
      </w:r>
      <w:hyperlink r:id="rId16">
        <w:r w:rsidR="00865BE4" w:rsidRPr="0092767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порядке</w:t>
        </w:r>
      </w:hyperlink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установленном Постановлением Правительства Свердловской области от 31.10.2017 </w:t>
      </w:r>
      <w:r w:rsidR="001E039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805-ПП </w:t>
      </w:r>
      <w:r w:rsidR="001E039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государственной программы Свердловской области </w:t>
      </w:r>
      <w:r w:rsidR="001E039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 Свердловс</w:t>
      </w:r>
      <w:r w:rsidR="00904707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 области</w:t>
      </w:r>
      <w:proofErr w:type="gramEnd"/>
      <w:r w:rsidR="00904707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2018 - 2027</w:t>
      </w:r>
      <w:r w:rsidR="001E039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</w:t>
      </w:r>
      <w:r w:rsidR="001E039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865BE4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14 к государственной программе).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Привлечение подрядных организаций для выполнения мероприятий по замене лифтов осуществляется организациями - получателями субсидий.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30. Организации - получатели субсидий представляют в </w:t>
      </w:r>
      <w:r w:rsidR="001E03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ЖКХ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электронном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виде и на бумажном носителе заверенные руководителями организации (уполномоченными лицами) копии следующих документов: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протокола общего собрания собственников помещений в многоквартирном доме, содержащего решение о согласии собственников помещений в соответствующем многоквартирном доме на выполнение работ по замене лифтов в данном доме за счет субсидии и средств собственников;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сметной документации с заключением о достоверности сметной стоимости работ по замене лифтов, выданным по результатам проведения негосударственной экспертизы проектной документации и (или) негосударственной экспертизы инженерных изысканий юридическими лицами, соответствующими требованиям, установленным </w:t>
      </w:r>
      <w:hyperlink r:id="rId17">
        <w:r w:rsidRPr="00405FD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50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договора на поставку лифтового оборудования и выполнение работ по его монтажу.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Указанные документы представляются в </w:t>
      </w:r>
      <w:r w:rsidR="001E03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ЖКХ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10 рабочих дней со дня получения организациями запроса </w:t>
      </w:r>
      <w:r w:rsidR="001E03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 ЖКХ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их представлении.</w:t>
      </w:r>
    </w:p>
    <w:p w:rsidR="00A153A8" w:rsidRPr="0092767B" w:rsidRDefault="00865BE4" w:rsidP="00A153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="00AD1BA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доведении </w:t>
      </w:r>
      <w:r w:rsidR="002C07C9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главному распорядителю бюджетных средств </w:t>
      </w:r>
      <w:r w:rsidR="00AD1BA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лимитов </w:t>
      </w:r>
      <w:r w:rsidR="00016E4F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бюджетных обязательств</w:t>
      </w:r>
      <w:r w:rsidR="002C07C9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областного бюджета в соответствующем финансовом году, необходимых для замены лифтов в многоквартирных домах,</w:t>
      </w:r>
      <w:r w:rsidR="00016E4F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2C07C9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рганизации - получатели субсидий после завершения работ по замене лифтов и ввода лифтов в эксплуатацию заключают с </w:t>
      </w:r>
      <w:r w:rsidR="001E039D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 о предоставлении субсидий в отношении каждого многоквартирного дома из числа включенных в перечень объектов по типовой форме, утвержденной </w:t>
      </w:r>
      <w:r w:rsidR="00A153A8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Финансового</w:t>
      </w:r>
      <w:proofErr w:type="gramEnd"/>
      <w:r w:rsidR="00A153A8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 администрации Асбестовского городского округа от 28.09.2021 № 92 </w:t>
      </w:r>
      <w:r w:rsidR="00BF340F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53A8"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 утверждении Типовой формы договора (соглашения) о предоставлении субсидии (гранта в форме субсидии)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Асбестовского городского округа».</w:t>
      </w:r>
    </w:p>
    <w:p w:rsid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Проекты соглашений направляется </w:t>
      </w:r>
      <w:r w:rsid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отделом ЖКХ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адрес организаций - получателей субсидий после получения уведомлений о завершении работ по замене лифтов.</w:t>
      </w:r>
    </w:p>
    <w:p w:rsidR="00341AF9" w:rsidRPr="00341AF9" w:rsidRDefault="00A6012F" w:rsidP="00A477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разработки проекта постановления администрации Асбестовского городского округа об утверждении порядка расходования целевых средств областного бюджета, предоставленных бюджету Асбестовского городского округа в форме субсидии и средств бюджета Асбестовского городского округа</w:t>
      </w:r>
      <w:r w:rsidR="00341AF9" w:rsidRPr="00341AF9">
        <w:t xml:space="preserve"> </w:t>
      </w:r>
      <w:r w:rsidR="00A4774B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субсидий организациям, управляющим многоквартирными домами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расположенными на территории А</w:t>
      </w:r>
      <w:r w:rsidR="00A4774B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сбестовского городского округа,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774B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проведение мероприятий по замене лифтов в многоквартирных домах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          </w:t>
      </w:r>
      <w:r w:rsidR="00A4774B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ЖКХ в течение 1 рабочего дня направляет в отдел</w:t>
      </w:r>
      <w:proofErr w:type="gramEnd"/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экономике администрации Асбестовского городского округа протокол 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омиссии, утвержденный постановлением администрации Асбестовского городского округа.</w:t>
      </w:r>
    </w:p>
    <w:p w:rsidR="00341AF9" w:rsidRPr="00341AF9" w:rsidRDefault="00A6012F" w:rsidP="00A477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33</w:t>
      </w:r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по экономике администрации Асбестовского городского округа в течение     5 рабочих дней со дня получения документов (протокол 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омиссии) разрабатывает проект постановления администрации Асбестовского городского округа об утверждении порядка расходования целевых средств областного бюджета, предоставленных бюджету Асбестовского городского округа в форме субсидии и средств бюджета Асбестовского городского округа </w:t>
      </w:r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субсидий организациям, управляющим многоквартирными домами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расположенными на территории А</w:t>
      </w:r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сбестовского городского округа,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проведение</w:t>
      </w:r>
      <w:proofErr w:type="gramEnd"/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 замене лифтов в многоквартирных домах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41AF9" w:rsidRPr="00341AF9" w:rsidRDefault="00A6012F" w:rsidP="00A477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</w:t>
      </w:r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ЖКХ в течение 5 рабочих дней после утверждения постановления администрации Асбестовского городского округа об утверждении порядка расходования целевых средств областного бюджета, предоставленных бюджету Асбестовского городского округа в форме субсидии и средств бюджета Асбестовского городского округа </w:t>
      </w:r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субсидий организациям, управляющим многоквартирными домами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расположенными на территории А</w:t>
      </w:r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сбестовского городского округа,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проведение мероприятий по замене лифтов в </w:t>
      </w:r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многоквартирных домах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заключает Соглашение с получателем</w:t>
      </w:r>
      <w:proofErr w:type="gramEnd"/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субсидии. </w:t>
      </w:r>
    </w:p>
    <w:p w:rsidR="00341AF9" w:rsidRPr="00865BE4" w:rsidRDefault="00A6012F" w:rsidP="00341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</w:t>
      </w:r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Финансовое управление Администрации обеспечивает финансовый </w:t>
      </w:r>
      <w:proofErr w:type="gramStart"/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41AF9" w:rsidRP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средств бюджета Асбестовского городского округа.</w:t>
      </w:r>
    </w:p>
    <w:p w:rsidR="00865BE4" w:rsidRPr="00865BE4" w:rsidRDefault="00A6012F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117"/>
      <w:bookmarkEnd w:id="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36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Для заключения соглашений о предоставлении субсидий организации - получатели субсидий в течение 10 дней после ввода лифтов в эксплуатацию, но не позднее 20 декабря года, в котором предоставляются субсидии, представляют в </w:t>
      </w:r>
      <w:r w:rsid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ЖКХ 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 документы: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проект соглашения между организацией и </w:t>
      </w:r>
      <w:r w:rsidR="0034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Администрацией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подписанный руководителем (уполномоченным лицом) и удостоверенный печатью (при ее наличии) организации, в двух экземплярах;</w:t>
      </w:r>
    </w:p>
    <w:p w:rsidR="00865BE4" w:rsidRPr="0092767B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сметную документацию с заключением о достоверности сметной стоимости работ по замене лифтов, выданным по результатам проведения негосударственной экспертизы проектной документации и (или) негосударственной экспертизы инженерных изысканий юридическими лицами, соответствующими требованиям, установленным </w:t>
      </w:r>
      <w:hyperlink r:id="rId18">
        <w:r w:rsidRPr="0092767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50</w:t>
        </w:r>
      </w:hyperlink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заверенную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копию п</w:t>
      </w:r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ротокол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A4774B" w:rsidRP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общего собрания собственников жилых помещений по привлечению подрядной организации</w:t>
      </w:r>
      <w:r w:rsidR="00A4774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заверенную руководителем организации (уполномоченным лицом) копию договора на поставку лифтового оборудования и выполнение работ по его монтажу;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акты выполненных работ по форме КС-2 в соответствии с видами работ, указанными в утвержденном перечне объектов;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справку о стоимости выполненных работ по форме КС-3;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копии актов ввода лифтов в эксплуатацию;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заверенную руководителем организации (уполномоченным лицом) копию платежного поручения на оплату выполненных подрядной организацией работ в соответствии с договором на поставку лифтового оборудования и выполнение работ по его монтажу;</w:t>
      </w:r>
    </w:p>
    <w:p w:rsidR="00865BE4" w:rsidRPr="0092767B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9) доверенность, подтверждающую право уполномоченного лица представлять интересы организации (в случае подписания документов уполномоченным лицом), оформленную в соответствии с требованиями </w:t>
      </w:r>
      <w:hyperlink r:id="rId19">
        <w:r w:rsidRPr="0092767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статей 185</w:t>
        </w:r>
      </w:hyperlink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20">
        <w:r w:rsidRPr="0092767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185.1</w:t>
        </w:r>
      </w:hyperlink>
      <w:r w:rsidRPr="00927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865BE4" w:rsidRPr="00865BE4" w:rsidRDefault="00A6012F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заключени</w:t>
      </w:r>
      <w:proofErr w:type="gramStart"/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 о предоставлении субсидии отказывается в следующих случаях: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несоответствие представленных организацией документов требованиям, определенным </w:t>
      </w:r>
      <w:r w:rsidR="003007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hyperlink w:anchor="P117">
        <w:r w:rsidR="003007D8" w:rsidRPr="0092767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36</w:t>
        </w:r>
      </w:hyperlink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или непредставление (представление не в полном объеме) указанных документов;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недостоверность предоставленной организацией информации.</w:t>
      </w:r>
    </w:p>
    <w:p w:rsidR="00865BE4" w:rsidRPr="00865BE4" w:rsidRDefault="00865BE4" w:rsidP="00832C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отказе в заключени</w:t>
      </w:r>
      <w:proofErr w:type="gramStart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 о предоставлении субсидии направляется </w:t>
      </w:r>
      <w:r w:rsidR="003007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отделом ЖКХ </w:t>
      </w:r>
      <w:r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в письменном виде по почтовому адресу или адресу электронной почты, указанному в заявлении (при условии указания заявителем такого способа уведомления), в течение пяти рабочих дней со дня принятия решения об отказе в заключении с организацией соглашения о предоставлении субсидии.</w:t>
      </w:r>
    </w:p>
    <w:p w:rsidR="00A4774B" w:rsidRDefault="00A4774B" w:rsidP="00865B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4. ТРЕБОВАНИЯ К ОТЧЕТНОСТИ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BE4" w:rsidRPr="00865BE4" w:rsidRDefault="003007D8" w:rsidP="00865B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</w:t>
      </w:r>
      <w:r w:rsidR="00865BE4" w:rsidRPr="00865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порядку, срокам и форме представления организациями отчетности об использовании субсидий определяются соглашениями.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C9" w:rsidRDefault="002C07C9" w:rsidP="002C07C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C07C9" w:rsidRDefault="002C07C9" w:rsidP="002C07C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767B" w:rsidRDefault="0092767B" w:rsidP="002C07C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5BE4" w:rsidRPr="00865BE4" w:rsidRDefault="002C07C9" w:rsidP="002C07C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 w:rsidR="00865BE4"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5. ТРЕБОВАНИЯ К ОСУЩЕСТВЛЕНИЮ </w:t>
      </w:r>
      <w:proofErr w:type="gramStart"/>
      <w:r w:rsidR="00865BE4"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865BE4"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УСЛОВИЙ, ЦЕЛЕЙ И ПОРЯДКА ПРЕДОСТАВЛЕНИЯ СУБСИДИЙ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ОТВЕТСТВЕННОСТИ ЗА ИХ НАРУШЕНИЕ</w:t>
      </w:r>
    </w:p>
    <w:p w:rsidR="00865BE4" w:rsidRPr="00865BE4" w:rsidRDefault="00A4774B" w:rsidP="00A4774B">
      <w:pPr>
        <w:widowControl w:val="0"/>
        <w:tabs>
          <w:tab w:val="left" w:pos="705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44C45" w:rsidRDefault="003007D8" w:rsidP="00B44C45">
      <w:pPr>
        <w:widowControl w:val="0"/>
        <w:tabs>
          <w:tab w:val="left" w:pos="80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</w:t>
      </w:r>
      <w:r w:rsidR="00B44C45" w:rsidRP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Администрация </w:t>
      </w:r>
      <w:r w:rsid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44C45" w:rsidRP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беспечивает результативность, адресность и целевой характер использования бюджетных средств, направленных на предоставление субсидии по возмещению затрат на замену лифтов в многоквартирных домах</w:t>
      </w:r>
      <w:r w:rsid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44C45" w:rsidRP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44C45" w:rsidRPr="00B44C45" w:rsidRDefault="003007D8" w:rsidP="00B44C45">
      <w:pPr>
        <w:widowControl w:val="0"/>
        <w:tabs>
          <w:tab w:val="left" w:pos="80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  <w:r w:rsidR="00B44C45" w:rsidRP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Субсидия по возмещению затрат из бюджета Асбестовского городского округа на замену лифтов</w:t>
      </w:r>
      <w:r w:rsid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многоквартирных домах </w:t>
      </w:r>
      <w:r w:rsidR="00B44C45" w:rsidRP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носит целевой характер и не может быть использована на иные цели.</w:t>
      </w:r>
    </w:p>
    <w:p w:rsidR="00B44C45" w:rsidRPr="00B44C45" w:rsidRDefault="003007D8" w:rsidP="00B44C45">
      <w:pPr>
        <w:widowControl w:val="0"/>
        <w:tabs>
          <w:tab w:val="left" w:pos="80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  <w:r w:rsidR="00B44C45" w:rsidRP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случаях выявления нарушений условия предоставления субсидии, либо в случае нецелевого использования, субсидия по требованию </w:t>
      </w:r>
      <w:r w:rsid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="00B44C45" w:rsidRP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подлежит возврату получателем субсидии в бюджет Асбестовского городского округа. При отказе 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65BE4" w:rsidRPr="00865BE4" w:rsidRDefault="003007D8" w:rsidP="00B44C45">
      <w:pPr>
        <w:widowControl w:val="0"/>
        <w:tabs>
          <w:tab w:val="left" w:pos="80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="00B44C45" w:rsidRP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Субсидия по возмещению затрат на замену лифтов в многоквартирных домах Асбестовского городского округа</w:t>
      </w:r>
      <w:r w:rsid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44C45" w:rsidRP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бюджета Асбестовского городского округа подлежит обязательной проверке главным распорядителем средств бюджета Асбестовского городского округа, предоставившим субсидию, и органами муниципального финансового контроля Асбестовского городского округа.</w:t>
      </w:r>
      <w:r w:rsidR="00B44C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7D8" w:rsidRDefault="003007D8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C9" w:rsidRDefault="002C07C9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5BE4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5BE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Положению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8" w:name="P165"/>
      <w:bookmarkEnd w:id="8"/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ОТБОРА МНОГОКВАРТИРНЫХ ДОМОВ ДЛЯ ВКЛЮЧЕНИЯ В ПЕРЕЧЕНЬ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МНОГОКВАРТИРНЫХ ДОМОВ, В КОТОРЫХ ПЛАНИРУЕТСЯ ПРОВЕДЕНИЕ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 ПО ЗАМЕНЕ ЛИФТОВ ЗА СЧЕТ СУБСИДИЙ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5B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СРЕДСТВ СОБСТВЕННИКОВ</w:t>
      </w:r>
    </w:p>
    <w:p w:rsidR="00865BE4" w:rsidRPr="00865BE4" w:rsidRDefault="00865BE4" w:rsidP="00865B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5"/>
        <w:gridCol w:w="6341"/>
        <w:gridCol w:w="2658"/>
      </w:tblGrid>
      <w:tr w:rsidR="00AA68F9" w:rsidRPr="00721316" w:rsidTr="00F2714B">
        <w:tc>
          <w:tcPr>
            <w:tcW w:w="855" w:type="dxa"/>
          </w:tcPr>
          <w:p w:rsidR="00AA68F9" w:rsidRPr="00721316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  <w:r w:rsidRPr="00721316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6341" w:type="dxa"/>
          </w:tcPr>
          <w:p w:rsidR="00AA68F9" w:rsidRPr="00721316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  <w:r w:rsidRPr="00721316">
              <w:rPr>
                <w:rFonts w:ascii="Times New Roman" w:hAnsi="Times New Roman" w:cs="Times New Roman"/>
              </w:rPr>
              <w:t>Наименование критерия отбора</w:t>
            </w:r>
          </w:p>
        </w:tc>
        <w:tc>
          <w:tcPr>
            <w:tcW w:w="2658" w:type="dxa"/>
          </w:tcPr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  <w:r w:rsidRPr="00721316">
              <w:rPr>
                <w:rFonts w:ascii="Times New Roman" w:hAnsi="Times New Roman" w:cs="Times New Roman"/>
              </w:rPr>
              <w:t>Количество баллов</w:t>
            </w:r>
          </w:p>
          <w:p w:rsidR="00765C37" w:rsidRPr="00721316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 w:rsidRPr="00765C37">
              <w:rPr>
                <w:rFonts w:ascii="Times New Roman" w:hAnsi="Times New Roman" w:cs="Times New Roman"/>
              </w:rPr>
              <w:t>&lt;*&gt;</w:t>
            </w:r>
          </w:p>
        </w:tc>
      </w:tr>
      <w:tr w:rsidR="00AA68F9" w:rsidRPr="00721316" w:rsidTr="00F2714B">
        <w:tc>
          <w:tcPr>
            <w:tcW w:w="855" w:type="dxa"/>
          </w:tcPr>
          <w:p w:rsidR="00AA68F9" w:rsidRPr="00721316" w:rsidRDefault="0041212F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1" w:type="dxa"/>
          </w:tcPr>
          <w:p w:rsidR="00AA68F9" w:rsidRPr="00603D4B" w:rsidRDefault="00AA68F9" w:rsidP="00F2714B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Срок  эксплуатации лифта в соответствующем многоквартирном  доме:</w:t>
            </w:r>
          </w:p>
          <w:p w:rsidR="00AA68F9" w:rsidRPr="00603D4B" w:rsidRDefault="00AA68F9" w:rsidP="00F2714B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более 30 лет</w:t>
            </w:r>
          </w:p>
          <w:p w:rsidR="00AA68F9" w:rsidRPr="00603D4B" w:rsidRDefault="00AA68F9" w:rsidP="00F2714B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28-30 лет</w:t>
            </w:r>
          </w:p>
          <w:p w:rsidR="00AA68F9" w:rsidRPr="00603D4B" w:rsidRDefault="00AA68F9" w:rsidP="00F2714B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Pr="00603D4B">
              <w:rPr>
                <w:rFonts w:ascii="Times New Roman" w:hAnsi="Times New Roman" w:cs="Times New Roman"/>
              </w:rPr>
              <w:t>32 лет</w:t>
            </w:r>
          </w:p>
          <w:p w:rsidR="00AA68F9" w:rsidRPr="00603D4B" w:rsidRDefault="00AA68F9" w:rsidP="00F2714B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25-27 лет</w:t>
            </w:r>
          </w:p>
          <w:p w:rsidR="00AA68F9" w:rsidRPr="00721316" w:rsidRDefault="00AA68F9" w:rsidP="00F2714B">
            <w:pPr>
              <w:jc w:val="both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менее 25 лет</w:t>
            </w:r>
          </w:p>
        </w:tc>
        <w:tc>
          <w:tcPr>
            <w:tcW w:w="2658" w:type="dxa"/>
          </w:tcPr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AA68F9" w:rsidRPr="00603D4B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10</w:t>
            </w:r>
          </w:p>
          <w:p w:rsidR="00AA68F9" w:rsidRPr="00603D4B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A68F9" w:rsidRPr="00603D4B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A68F9" w:rsidRPr="00603D4B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4</w:t>
            </w:r>
          </w:p>
          <w:p w:rsidR="00AA68F9" w:rsidRPr="00721316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68F9" w:rsidRPr="00721316" w:rsidTr="00F2714B">
        <w:tc>
          <w:tcPr>
            <w:tcW w:w="855" w:type="dxa"/>
          </w:tcPr>
          <w:p w:rsidR="00AA68F9" w:rsidRPr="00721316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6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1" w:type="dxa"/>
          </w:tcPr>
          <w:p w:rsidR="00AA68F9" w:rsidRPr="00603D4B" w:rsidRDefault="00AA68F9" w:rsidP="00F2714B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Период проведения последнего капитального ремонта лифтового оборудования в соответствующем многоквартирном  доме:</w:t>
            </w:r>
          </w:p>
          <w:p w:rsidR="00AA68F9" w:rsidRPr="00603D4B" w:rsidRDefault="00AA68F9" w:rsidP="00F2714B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до 5 лет</w:t>
            </w:r>
          </w:p>
          <w:p w:rsidR="00AA68F9" w:rsidRPr="00603D4B" w:rsidRDefault="00AA68F9" w:rsidP="00F2714B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5 до 7 лет</w:t>
            </w:r>
          </w:p>
          <w:p w:rsidR="00AA68F9" w:rsidRPr="00603D4B" w:rsidRDefault="00AA68F9" w:rsidP="00F2714B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8 до 10 лет</w:t>
            </w:r>
          </w:p>
          <w:p w:rsidR="00AA68F9" w:rsidRPr="00721316" w:rsidRDefault="00AA68F9" w:rsidP="00F2714B">
            <w:pPr>
              <w:jc w:val="both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свыше 10 лет</w:t>
            </w:r>
          </w:p>
        </w:tc>
        <w:tc>
          <w:tcPr>
            <w:tcW w:w="2658" w:type="dxa"/>
          </w:tcPr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AA68F9" w:rsidRPr="00603D4B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A68F9" w:rsidRPr="00603D4B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5</w:t>
            </w:r>
          </w:p>
          <w:p w:rsidR="00AA68F9" w:rsidRPr="00603D4B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7</w:t>
            </w:r>
          </w:p>
          <w:p w:rsidR="00AA68F9" w:rsidRPr="00721316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10</w:t>
            </w:r>
          </w:p>
        </w:tc>
      </w:tr>
      <w:tr w:rsidR="00AA68F9" w:rsidRPr="00721316" w:rsidTr="00F2714B">
        <w:tc>
          <w:tcPr>
            <w:tcW w:w="855" w:type="dxa"/>
          </w:tcPr>
          <w:p w:rsidR="00AA68F9" w:rsidRPr="00721316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6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1" w:type="dxa"/>
          </w:tcPr>
          <w:p w:rsidR="00AA68F9" w:rsidRDefault="00765C37" w:rsidP="00AA68F9">
            <w:pPr>
              <w:rPr>
                <w:rFonts w:ascii="Times New Roman" w:hAnsi="Times New Roman" w:cs="Times New Roman"/>
              </w:rPr>
            </w:pPr>
            <w:r w:rsidRPr="00765C37">
              <w:rPr>
                <w:rFonts w:ascii="Times New Roman" w:hAnsi="Times New Roman" w:cs="Times New Roman"/>
              </w:rPr>
              <w:t>Доля средств, направляемых собственниками жилых помещений в многоквартирном доме на финансирование работ по замене лифтов, в общей сумме затрат на проведение таких работ</w:t>
            </w:r>
            <w:r w:rsidR="00AA68F9" w:rsidRPr="00603D4B">
              <w:rPr>
                <w:rFonts w:ascii="Times New Roman" w:hAnsi="Times New Roman" w:cs="Times New Roman"/>
              </w:rPr>
              <w:t>:</w:t>
            </w:r>
          </w:p>
          <w:p w:rsidR="00AA68F9" w:rsidRDefault="00AA68F9" w:rsidP="00AA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  <w:p w:rsidR="00AA68F9" w:rsidRPr="00721316" w:rsidRDefault="00AA68F9" w:rsidP="00AA6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30%</w:t>
            </w:r>
          </w:p>
        </w:tc>
        <w:tc>
          <w:tcPr>
            <w:tcW w:w="2658" w:type="dxa"/>
          </w:tcPr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765C37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765C37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765C37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5C37" w:rsidRPr="00721316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68F9" w:rsidRPr="00721316" w:rsidTr="00F2714B">
        <w:tc>
          <w:tcPr>
            <w:tcW w:w="855" w:type="dxa"/>
          </w:tcPr>
          <w:p w:rsidR="00AA68F9" w:rsidRPr="00721316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6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1" w:type="dxa"/>
          </w:tcPr>
          <w:p w:rsidR="00AA68F9" w:rsidRPr="00765C37" w:rsidRDefault="00AA68F9" w:rsidP="00F2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37">
              <w:rPr>
                <w:rFonts w:ascii="Times New Roman" w:eastAsiaTheme="minorEastAsia" w:hAnsi="Times New Roman" w:cs="Times New Roman"/>
                <w:lang w:eastAsia="ru-RU"/>
              </w:rPr>
              <w:t xml:space="preserve">Финансовая дисциплина собственников и </w:t>
            </w:r>
            <w:r w:rsidR="00765C37">
              <w:rPr>
                <w:rFonts w:ascii="Times New Roman" w:eastAsiaTheme="minorEastAsia" w:hAnsi="Times New Roman" w:cs="Times New Roman"/>
                <w:lang w:eastAsia="ru-RU"/>
              </w:rPr>
              <w:t>нанимателей</w:t>
            </w:r>
            <w:r w:rsidRPr="00765C3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65C37">
              <w:rPr>
                <w:rFonts w:ascii="Times New Roman" w:eastAsiaTheme="minorEastAsia" w:hAnsi="Times New Roman" w:cs="Times New Roman"/>
                <w:lang w:eastAsia="ru-RU"/>
              </w:rPr>
              <w:t xml:space="preserve">жилых </w:t>
            </w:r>
            <w:r w:rsidRPr="00765C37">
              <w:rPr>
                <w:rFonts w:ascii="Times New Roman" w:eastAsiaTheme="minorEastAsia" w:hAnsi="Times New Roman" w:cs="Times New Roman"/>
                <w:lang w:eastAsia="ru-RU"/>
              </w:rPr>
              <w:t>помещений в многоквартирном доме - уровень сбора платежей за жилищно-коммунальные услуги</w:t>
            </w:r>
          </w:p>
          <w:p w:rsidR="00AA68F9" w:rsidRPr="00765C37" w:rsidRDefault="00AA68F9" w:rsidP="00F271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5C37">
              <w:rPr>
                <w:rFonts w:ascii="Times New Roman" w:eastAsiaTheme="minorEastAsia" w:hAnsi="Times New Roman" w:cs="Times New Roman"/>
                <w:lang w:eastAsia="ru-RU"/>
              </w:rPr>
              <w:t>свыше 95%</w:t>
            </w:r>
          </w:p>
          <w:p w:rsidR="00AA68F9" w:rsidRPr="00765C37" w:rsidRDefault="00AA68F9" w:rsidP="00F2714B">
            <w:pPr>
              <w:rPr>
                <w:rFonts w:ascii="Times New Roman" w:hAnsi="Times New Roman" w:cs="Times New Roman"/>
              </w:rPr>
            </w:pPr>
            <w:r w:rsidRPr="00765C37">
              <w:rPr>
                <w:rFonts w:ascii="Times New Roman" w:hAnsi="Times New Roman" w:cs="Times New Roman"/>
              </w:rPr>
              <w:t>от 80% до 95%</w:t>
            </w:r>
          </w:p>
          <w:p w:rsidR="00AA68F9" w:rsidRPr="00721316" w:rsidRDefault="00AA68F9" w:rsidP="00F2714B">
            <w:pPr>
              <w:rPr>
                <w:rFonts w:ascii="Times New Roman" w:hAnsi="Times New Roman" w:cs="Times New Roman"/>
              </w:rPr>
            </w:pPr>
            <w:r w:rsidRPr="00765C37">
              <w:rPr>
                <w:rFonts w:ascii="Times New Roman" w:hAnsi="Times New Roman" w:cs="Times New Roman"/>
              </w:rPr>
              <w:t>менее 80%</w:t>
            </w:r>
          </w:p>
        </w:tc>
        <w:tc>
          <w:tcPr>
            <w:tcW w:w="2658" w:type="dxa"/>
          </w:tcPr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AA68F9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</w:p>
          <w:p w:rsidR="00AA68F9" w:rsidRPr="00603D4B" w:rsidRDefault="00AA68F9" w:rsidP="00F2714B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10</w:t>
            </w:r>
          </w:p>
          <w:p w:rsidR="00AA68F9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65C37" w:rsidRPr="00721316" w:rsidRDefault="00765C37" w:rsidP="00F2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CFF" w:rsidRPr="00721316" w:rsidTr="001F6B46">
        <w:tc>
          <w:tcPr>
            <w:tcW w:w="855" w:type="dxa"/>
          </w:tcPr>
          <w:p w:rsidR="006E4CFF" w:rsidRDefault="006E4CFF" w:rsidP="001F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41" w:type="dxa"/>
          </w:tcPr>
          <w:p w:rsidR="006E4CFF" w:rsidRDefault="006E4CFF" w:rsidP="001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поступления заявок на участие в отборе (по регистрации в Журнале):</w:t>
            </w:r>
          </w:p>
          <w:p w:rsidR="006E4CFF" w:rsidRDefault="006E4CFF" w:rsidP="001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поступившая заявка</w:t>
            </w:r>
          </w:p>
          <w:p w:rsidR="006E4CFF" w:rsidRDefault="006E4CFF" w:rsidP="001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поступившая заявка</w:t>
            </w:r>
          </w:p>
          <w:p w:rsidR="006E4CFF" w:rsidRPr="00603D4B" w:rsidRDefault="006E4CFF" w:rsidP="001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 поступившая заявка</w:t>
            </w:r>
          </w:p>
        </w:tc>
        <w:tc>
          <w:tcPr>
            <w:tcW w:w="2658" w:type="dxa"/>
          </w:tcPr>
          <w:p w:rsidR="006E4CFF" w:rsidRDefault="006E4CFF" w:rsidP="001F6B46">
            <w:pPr>
              <w:jc w:val="center"/>
              <w:rPr>
                <w:rFonts w:ascii="Times New Roman" w:hAnsi="Times New Roman" w:cs="Times New Roman"/>
              </w:rPr>
            </w:pPr>
          </w:p>
          <w:p w:rsidR="006E4CFF" w:rsidRDefault="006E4CFF" w:rsidP="001F6B46">
            <w:pPr>
              <w:jc w:val="center"/>
              <w:rPr>
                <w:rFonts w:ascii="Times New Roman" w:hAnsi="Times New Roman" w:cs="Times New Roman"/>
              </w:rPr>
            </w:pPr>
          </w:p>
          <w:p w:rsidR="006E4CFF" w:rsidRDefault="006E4CFF" w:rsidP="001F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E4CFF" w:rsidRDefault="006E4CFF" w:rsidP="001F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E4CFF" w:rsidRDefault="006E4CFF" w:rsidP="001F6B46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>
              <w:t xml:space="preserve"> </w:t>
            </w:r>
          </w:p>
          <w:p w:rsidR="006E4CFF" w:rsidRDefault="006E4CFF" w:rsidP="001F6B46">
            <w:pPr>
              <w:jc w:val="center"/>
              <w:rPr>
                <w:rFonts w:ascii="Times New Roman" w:hAnsi="Times New Roman" w:cs="Times New Roman"/>
              </w:rPr>
            </w:pPr>
            <w:r w:rsidRPr="006A469F">
              <w:rPr>
                <w:rFonts w:ascii="Times New Roman" w:hAnsi="Times New Roman" w:cs="Times New Roman"/>
              </w:rPr>
              <w:t>последующи</w:t>
            </w:r>
            <w:r>
              <w:rPr>
                <w:rFonts w:ascii="Times New Roman" w:hAnsi="Times New Roman" w:cs="Times New Roman"/>
              </w:rPr>
              <w:t>м</w:t>
            </w:r>
            <w:r w:rsidRPr="006A469F">
              <w:rPr>
                <w:rFonts w:ascii="Times New Roman" w:hAnsi="Times New Roman" w:cs="Times New Roman"/>
              </w:rPr>
              <w:t xml:space="preserve"> поступивши</w:t>
            </w:r>
            <w:r>
              <w:rPr>
                <w:rFonts w:ascii="Times New Roman" w:hAnsi="Times New Roman" w:cs="Times New Roman"/>
              </w:rPr>
              <w:t>м</w:t>
            </w:r>
            <w:r w:rsidRPr="006A46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ам присваивается </w:t>
            </w:r>
          </w:p>
          <w:p w:rsidR="006E4CFF" w:rsidRDefault="006E4CFF" w:rsidP="001F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балл ниже </w:t>
            </w:r>
          </w:p>
          <w:p w:rsidR="006E4CFF" w:rsidRDefault="006E4CFF" w:rsidP="001F6B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соответствии с регистрацией в </w:t>
            </w:r>
            <w:r w:rsidRPr="007A18D9">
              <w:rPr>
                <w:rFonts w:ascii="Times New Roman" w:hAnsi="Times New Roman" w:cs="Times New Roman"/>
              </w:rPr>
              <w:t>Журнале регистрации заявок для участия в отборе</w:t>
            </w:r>
            <w:proofErr w:type="gramEnd"/>
          </w:p>
        </w:tc>
      </w:tr>
      <w:tr w:rsidR="00765C37" w:rsidRPr="00721316" w:rsidTr="00410BD2">
        <w:tc>
          <w:tcPr>
            <w:tcW w:w="9854" w:type="dxa"/>
            <w:gridSpan w:val="3"/>
          </w:tcPr>
          <w:p w:rsidR="00765C37" w:rsidRPr="00904707" w:rsidRDefault="00765C37" w:rsidP="00904707">
            <w:pPr>
              <w:rPr>
                <w:rFonts w:ascii="Times New Roman" w:hAnsi="Times New Roman" w:cs="Times New Roman"/>
                <w:b/>
              </w:rPr>
            </w:pPr>
            <w:r w:rsidRPr="00904707">
              <w:rPr>
                <w:rFonts w:ascii="Times New Roman" w:hAnsi="Times New Roman" w:cs="Times New Roman"/>
                <w:b/>
              </w:rPr>
              <w:t>&lt;*&gt;</w:t>
            </w:r>
            <w:r w:rsidRPr="00904707">
              <w:rPr>
                <w:b/>
              </w:rPr>
              <w:t xml:space="preserve"> </w:t>
            </w:r>
            <w:r w:rsidRPr="00904707">
              <w:rPr>
                <w:rFonts w:ascii="Times New Roman" w:hAnsi="Times New Roman" w:cs="Times New Roman"/>
                <w:b/>
              </w:rPr>
              <w:t>Общее количество баллов, присвоенное объекту, определяется как сумма количества баллов по каждому из критериев</w:t>
            </w:r>
          </w:p>
        </w:tc>
      </w:tr>
    </w:tbl>
    <w:p w:rsidR="00AA68F9" w:rsidRPr="00A7274D" w:rsidRDefault="00AA68F9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68F9" w:rsidRPr="00A7274D" w:rsidSect="00E5126F">
      <w:headerReference w:type="default" r:id="rId21"/>
      <w:foot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34" w:rsidRDefault="00512934" w:rsidP="00694968">
      <w:pPr>
        <w:spacing w:after="0" w:line="240" w:lineRule="auto"/>
      </w:pPr>
      <w:r>
        <w:separator/>
      </w:r>
    </w:p>
  </w:endnote>
  <w:endnote w:type="continuationSeparator" w:id="0">
    <w:p w:rsidR="00512934" w:rsidRDefault="00512934" w:rsidP="0069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97" w:rsidRPr="00694968" w:rsidRDefault="00627097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627097" w:rsidRDefault="00627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34" w:rsidRDefault="00512934" w:rsidP="00694968">
      <w:pPr>
        <w:spacing w:after="0" w:line="240" w:lineRule="auto"/>
      </w:pPr>
      <w:r>
        <w:separator/>
      </w:r>
    </w:p>
  </w:footnote>
  <w:footnote w:type="continuationSeparator" w:id="0">
    <w:p w:rsidR="00512934" w:rsidRDefault="00512934" w:rsidP="0069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04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7097" w:rsidRPr="00176BE4" w:rsidRDefault="006270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6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6B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6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5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6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7097" w:rsidRDefault="006270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577"/>
    <w:multiLevelType w:val="hybridMultilevel"/>
    <w:tmpl w:val="E55ED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2A5"/>
    <w:multiLevelType w:val="hybridMultilevel"/>
    <w:tmpl w:val="32507E7A"/>
    <w:lvl w:ilvl="0" w:tplc="CE226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44219"/>
    <w:multiLevelType w:val="hybridMultilevel"/>
    <w:tmpl w:val="A5A67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74D"/>
    <w:rsid w:val="00012771"/>
    <w:rsid w:val="00016E4F"/>
    <w:rsid w:val="00071777"/>
    <w:rsid w:val="00093031"/>
    <w:rsid w:val="000D0334"/>
    <w:rsid w:val="000F5BCF"/>
    <w:rsid w:val="00136269"/>
    <w:rsid w:val="00143437"/>
    <w:rsid w:val="00171B32"/>
    <w:rsid w:val="00176BE4"/>
    <w:rsid w:val="001954CC"/>
    <w:rsid w:val="00195BC7"/>
    <w:rsid w:val="001D1329"/>
    <w:rsid w:val="001D178C"/>
    <w:rsid w:val="001D3284"/>
    <w:rsid w:val="001E039D"/>
    <w:rsid w:val="00210ADB"/>
    <w:rsid w:val="00220CC7"/>
    <w:rsid w:val="0026467A"/>
    <w:rsid w:val="002B286F"/>
    <w:rsid w:val="002B627A"/>
    <w:rsid w:val="002B76E6"/>
    <w:rsid w:val="002C07C9"/>
    <w:rsid w:val="002D3DBF"/>
    <w:rsid w:val="002E3BB5"/>
    <w:rsid w:val="003007D8"/>
    <w:rsid w:val="0030202B"/>
    <w:rsid w:val="003201FC"/>
    <w:rsid w:val="00324FDF"/>
    <w:rsid w:val="00341AF9"/>
    <w:rsid w:val="003428FD"/>
    <w:rsid w:val="003679CF"/>
    <w:rsid w:val="003769E2"/>
    <w:rsid w:val="003844FC"/>
    <w:rsid w:val="00392EB9"/>
    <w:rsid w:val="00394F69"/>
    <w:rsid w:val="003B0D33"/>
    <w:rsid w:val="00403D1A"/>
    <w:rsid w:val="00405FDA"/>
    <w:rsid w:val="00407BA8"/>
    <w:rsid w:val="0041212F"/>
    <w:rsid w:val="00413608"/>
    <w:rsid w:val="00417613"/>
    <w:rsid w:val="0042208F"/>
    <w:rsid w:val="00446B57"/>
    <w:rsid w:val="00446C41"/>
    <w:rsid w:val="004614BD"/>
    <w:rsid w:val="00466CEA"/>
    <w:rsid w:val="004867D9"/>
    <w:rsid w:val="004C2AC9"/>
    <w:rsid w:val="004D5551"/>
    <w:rsid w:val="004E212E"/>
    <w:rsid w:val="004F4E56"/>
    <w:rsid w:val="00512934"/>
    <w:rsid w:val="005228BB"/>
    <w:rsid w:val="0053412B"/>
    <w:rsid w:val="005472C8"/>
    <w:rsid w:val="00561EA2"/>
    <w:rsid w:val="00562E09"/>
    <w:rsid w:val="00562EA3"/>
    <w:rsid w:val="00563958"/>
    <w:rsid w:val="00594486"/>
    <w:rsid w:val="005B197E"/>
    <w:rsid w:val="005C3F37"/>
    <w:rsid w:val="005D5E00"/>
    <w:rsid w:val="005D6C1E"/>
    <w:rsid w:val="005F0044"/>
    <w:rsid w:val="00603D4B"/>
    <w:rsid w:val="00604677"/>
    <w:rsid w:val="00627097"/>
    <w:rsid w:val="00651798"/>
    <w:rsid w:val="006564B1"/>
    <w:rsid w:val="0069032C"/>
    <w:rsid w:val="00694968"/>
    <w:rsid w:val="006A469F"/>
    <w:rsid w:val="006C32C1"/>
    <w:rsid w:val="006E4CFF"/>
    <w:rsid w:val="00715B4C"/>
    <w:rsid w:val="00721316"/>
    <w:rsid w:val="00732AF7"/>
    <w:rsid w:val="00745A5F"/>
    <w:rsid w:val="00751242"/>
    <w:rsid w:val="00765C37"/>
    <w:rsid w:val="007A0A75"/>
    <w:rsid w:val="007A18D9"/>
    <w:rsid w:val="007C188F"/>
    <w:rsid w:val="007C69AB"/>
    <w:rsid w:val="007F0BB4"/>
    <w:rsid w:val="00832C01"/>
    <w:rsid w:val="00851F3F"/>
    <w:rsid w:val="00865BE4"/>
    <w:rsid w:val="00871661"/>
    <w:rsid w:val="00873E56"/>
    <w:rsid w:val="008C18A1"/>
    <w:rsid w:val="008D3A24"/>
    <w:rsid w:val="008E399E"/>
    <w:rsid w:val="008E4215"/>
    <w:rsid w:val="00904707"/>
    <w:rsid w:val="0092767B"/>
    <w:rsid w:val="00930F4B"/>
    <w:rsid w:val="00945D30"/>
    <w:rsid w:val="0096341A"/>
    <w:rsid w:val="00970CCB"/>
    <w:rsid w:val="009D0F7E"/>
    <w:rsid w:val="00A153A8"/>
    <w:rsid w:val="00A20F49"/>
    <w:rsid w:val="00A24D62"/>
    <w:rsid w:val="00A3793B"/>
    <w:rsid w:val="00A4774B"/>
    <w:rsid w:val="00A6012F"/>
    <w:rsid w:val="00A7274D"/>
    <w:rsid w:val="00A96615"/>
    <w:rsid w:val="00AA68F9"/>
    <w:rsid w:val="00AD1BAD"/>
    <w:rsid w:val="00B00D26"/>
    <w:rsid w:val="00B330E7"/>
    <w:rsid w:val="00B44C45"/>
    <w:rsid w:val="00B72DFA"/>
    <w:rsid w:val="00B9495D"/>
    <w:rsid w:val="00B9684A"/>
    <w:rsid w:val="00BB1F01"/>
    <w:rsid w:val="00BF340F"/>
    <w:rsid w:val="00C07909"/>
    <w:rsid w:val="00C1353F"/>
    <w:rsid w:val="00C1653B"/>
    <w:rsid w:val="00C20E8A"/>
    <w:rsid w:val="00C33247"/>
    <w:rsid w:val="00C47D04"/>
    <w:rsid w:val="00C73D6E"/>
    <w:rsid w:val="00CA4F41"/>
    <w:rsid w:val="00CB1D75"/>
    <w:rsid w:val="00CC66DC"/>
    <w:rsid w:val="00CF354F"/>
    <w:rsid w:val="00D06B95"/>
    <w:rsid w:val="00D67694"/>
    <w:rsid w:val="00D96A10"/>
    <w:rsid w:val="00DB2DA7"/>
    <w:rsid w:val="00DC35E7"/>
    <w:rsid w:val="00DE5985"/>
    <w:rsid w:val="00E1355E"/>
    <w:rsid w:val="00E16528"/>
    <w:rsid w:val="00E24682"/>
    <w:rsid w:val="00E261A3"/>
    <w:rsid w:val="00E27A74"/>
    <w:rsid w:val="00E4318D"/>
    <w:rsid w:val="00E44F60"/>
    <w:rsid w:val="00E5126F"/>
    <w:rsid w:val="00E5450F"/>
    <w:rsid w:val="00E5572F"/>
    <w:rsid w:val="00E9099F"/>
    <w:rsid w:val="00E94C6E"/>
    <w:rsid w:val="00EE7DFD"/>
    <w:rsid w:val="00EF2D29"/>
    <w:rsid w:val="00EF5E40"/>
    <w:rsid w:val="00EF7A5A"/>
    <w:rsid w:val="00EF7CC0"/>
    <w:rsid w:val="00F00E59"/>
    <w:rsid w:val="00F35755"/>
    <w:rsid w:val="00F4100F"/>
    <w:rsid w:val="00F47C32"/>
    <w:rsid w:val="00F53299"/>
    <w:rsid w:val="00F552DE"/>
    <w:rsid w:val="00F6597F"/>
    <w:rsid w:val="00F6712A"/>
    <w:rsid w:val="00F67990"/>
    <w:rsid w:val="00FB424D"/>
    <w:rsid w:val="00FD4B7F"/>
    <w:rsid w:val="00FE2D48"/>
    <w:rsid w:val="00FE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727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968"/>
  </w:style>
  <w:style w:type="paragraph" w:styleId="a8">
    <w:name w:val="footer"/>
    <w:basedOn w:val="a"/>
    <w:link w:val="a9"/>
    <w:uiPriority w:val="99"/>
    <w:unhideWhenUsed/>
    <w:rsid w:val="0069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968"/>
  </w:style>
  <w:style w:type="table" w:styleId="aa">
    <w:name w:val="Table Grid"/>
    <w:basedOn w:val="a1"/>
    <w:uiPriority w:val="59"/>
    <w:rsid w:val="00CC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72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5065B498711D8A7130CEF32FD04857AAEA2FADC5378E8879419F2D347AFEE8F0D8555EFFB469393377A10CY9i3G" TargetMode="External"/><Relationship Id="rId13" Type="http://schemas.openxmlformats.org/officeDocument/2006/relationships/hyperlink" Target="consultantplus://offline/ref=AFCD5065B498711D8A7130CEF32FD04857A5EE2AABC1378E8879419F2D347AFEFAF0805D58FCA13D616920AC0C91031CFFCF8C7AB8YCi9G" TargetMode="External"/><Relationship Id="rId18" Type="http://schemas.openxmlformats.org/officeDocument/2006/relationships/hyperlink" Target="consultantplus://offline/ref=AFCD5065B498711D8A7130CEF32FD04857A5EE2AABC1378E8879419F2D347AFEFAF0805D58FCA13D616920AC0C91031CFFCF8C7AB8YCi9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CD5065B498711D8A7130CEF32FD04857A5E528ABC4378E8879419F2D347AFEFAF0805C5DFEA13D616920AC0C91031CFFCF8C7AB8YCi9G" TargetMode="External"/><Relationship Id="rId17" Type="http://schemas.openxmlformats.org/officeDocument/2006/relationships/hyperlink" Target="consultantplus://offline/ref=AFCD5065B498711D8A7130CEF32FD04857A5EE2AABC1378E8879419F2D347AFEFAF0805D58FCA13D616920AC0C91031CFFCF8C7AB8YCi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D5065B498711D8A712EC3E5438E4255A6B322ACC13DDAD12C47C872647CABBAB0860C1FBBA768312871A40F9A494DB2848378BAD536996FA06947Y2i0G" TargetMode="External"/><Relationship Id="rId20" Type="http://schemas.openxmlformats.org/officeDocument/2006/relationships/hyperlink" Target="consultantplus://offline/ref=AFCD5065B498711D8A7130CEF32FD04850ADEF29AAC6378E8879419F2D347AFEFAF0805C5BFCA13D616920AC0C91031CFFCF8C7AB8YCi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D5065B498711D8A7130CEF32FD04857A5E528ABC4378E8879419F2D347AFEFAF080595CFEAE6D352621F04AC4101EF6CF8E73A4C93692Y7i3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D5065B498711D8A7130CEF32FD04850ADEF29AAC6378E8879419F2D347AFEFAF0805C5BFCA13D616920AC0C91031CFFCF8C7AB8YCi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FCD5065B498711D8A712EC3E5438E4255A6B322ACC13DDAD12C47C872647CABBAB0860C0DBBFF64322D6BA1078F1F1CF4YDi3G" TargetMode="External"/><Relationship Id="rId19" Type="http://schemas.openxmlformats.org/officeDocument/2006/relationships/hyperlink" Target="consultantplus://offline/ref=AFCD5065B498711D8A7130CEF32FD04850ADEF29AAC6378E8879419F2D347AFEFAF0805C5AFAA13D616920AC0C91031CFFCF8C7AB8YCi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D5065B498711D8A7130CEF32FD04857A4EB26A9C1378E8879419F2D347AFEE8F0D8555EFFB469393377A10CY9i3G" TargetMode="External"/><Relationship Id="rId14" Type="http://schemas.openxmlformats.org/officeDocument/2006/relationships/hyperlink" Target="consultantplus://offline/ref=AFCD5065B498711D8A7130CEF32FD04850ADEF29AAC6378E8879419F2D347AFEFAF0805C5AFAA13D616920AC0C91031CFFCF8C7AB8YCi9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oka</cp:lastModifiedBy>
  <cp:revision>2</cp:revision>
  <cp:lastPrinted>2022-11-08T08:59:00Z</cp:lastPrinted>
  <dcterms:created xsi:type="dcterms:W3CDTF">2022-11-15T09:14:00Z</dcterms:created>
  <dcterms:modified xsi:type="dcterms:W3CDTF">2022-11-15T09:14:00Z</dcterms:modified>
</cp:coreProperties>
</file>